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4221C3" w14:textId="77777777" w:rsidR="110633E4" w:rsidRPr="00CD0C90" w:rsidRDefault="1E866460" w:rsidP="00984829">
      <w:pPr>
        <w:jc w:val="center"/>
        <w:rPr>
          <w:rFonts w:asciiTheme="majorHAnsi" w:hAnsiTheme="majorHAnsi" w:cstheme="majorHAnsi"/>
          <w:b/>
          <w:bCs/>
          <w:color w:val="D49E21"/>
          <w:sz w:val="52"/>
          <w:szCs w:val="52"/>
        </w:rPr>
      </w:pPr>
      <w:bookmarkStart w:id="0" w:name="_Hlk235104871"/>
      <w:r w:rsidRPr="00CD0C90">
        <w:rPr>
          <w:rFonts w:asciiTheme="majorHAnsi" w:hAnsiTheme="majorHAnsi" w:cstheme="majorHAnsi"/>
          <w:b/>
          <w:bCs/>
          <w:color w:val="D49E21"/>
          <w:sz w:val="52"/>
          <w:szCs w:val="52"/>
        </w:rPr>
        <w:t>PROYECTO DE INVERSIÓN - CÓDIGO BPIN 202400000000190</w:t>
      </w:r>
    </w:p>
    <w:p w14:paraId="2E15F169" w14:textId="77777777" w:rsidR="001B1C96" w:rsidRPr="00CD0C90" w:rsidRDefault="1E866460" w:rsidP="00984829">
      <w:pPr>
        <w:jc w:val="center"/>
        <w:rPr>
          <w:rFonts w:asciiTheme="majorHAnsi" w:hAnsiTheme="majorHAnsi" w:cstheme="majorHAnsi"/>
          <w:b/>
          <w:bCs/>
          <w:color w:val="D49E21"/>
          <w:sz w:val="52"/>
          <w:szCs w:val="52"/>
        </w:rPr>
      </w:pPr>
      <w:r w:rsidRPr="00CD0C90">
        <w:rPr>
          <w:rFonts w:asciiTheme="majorHAnsi" w:hAnsiTheme="majorHAnsi" w:cstheme="majorHAnsi"/>
          <w:b/>
          <w:bCs/>
          <w:color w:val="D49E21"/>
          <w:sz w:val="52"/>
          <w:szCs w:val="52"/>
        </w:rPr>
        <w:t>FORTALECIMIENTO DEL ANÁLISIS ESTRATÉGICO SECTORIAL Y LEGISLATIVO DEL MINISTERIO DE MINAS Y ENERGÍA EN EL MARCO DE LA TRANSICIÓN ENERGÉTICA JUSTA</w:t>
      </w:r>
    </w:p>
    <w:p w14:paraId="1ADB0C22" w14:textId="77777777" w:rsidR="001B1C96" w:rsidRPr="00CD0C90" w:rsidRDefault="001B1C96" w:rsidP="00984829">
      <w:pPr>
        <w:jc w:val="center"/>
        <w:rPr>
          <w:rFonts w:asciiTheme="majorHAnsi" w:hAnsiTheme="majorHAnsi" w:cstheme="majorHAnsi"/>
          <w:b/>
          <w:bCs/>
          <w:sz w:val="52"/>
          <w:szCs w:val="52"/>
        </w:rPr>
      </w:pPr>
    </w:p>
    <w:p w14:paraId="606D36A9" w14:textId="77777777" w:rsidR="001B1C96" w:rsidRPr="00CD0C90" w:rsidRDefault="1E866460" w:rsidP="00984829">
      <w:pPr>
        <w:jc w:val="center"/>
        <w:rPr>
          <w:rFonts w:asciiTheme="majorHAnsi" w:hAnsiTheme="majorHAnsi" w:cstheme="majorHAnsi"/>
          <w:b/>
          <w:bCs/>
          <w:color w:val="D49E21"/>
          <w:sz w:val="52"/>
          <w:szCs w:val="52"/>
        </w:rPr>
      </w:pPr>
      <w:r w:rsidRPr="00CD0C90">
        <w:rPr>
          <w:rFonts w:asciiTheme="majorHAnsi" w:hAnsiTheme="majorHAnsi" w:cstheme="majorHAnsi"/>
          <w:b/>
          <w:bCs/>
          <w:color w:val="D49E21"/>
          <w:sz w:val="52"/>
          <w:szCs w:val="52"/>
        </w:rPr>
        <w:t xml:space="preserve">GRUPO DE ASUNTOS LEGISLATIVOS </w:t>
      </w:r>
    </w:p>
    <w:p w14:paraId="58D6E814" w14:textId="77777777" w:rsidR="006919AE" w:rsidRPr="00CD0C90" w:rsidRDefault="1E866460" w:rsidP="00984829">
      <w:pPr>
        <w:jc w:val="center"/>
        <w:rPr>
          <w:rFonts w:asciiTheme="majorHAnsi" w:hAnsiTheme="majorHAnsi" w:cstheme="majorHAnsi"/>
          <w:b/>
          <w:bCs/>
          <w:color w:val="D49E21"/>
          <w:sz w:val="52"/>
          <w:szCs w:val="52"/>
        </w:rPr>
      </w:pPr>
      <w:r w:rsidRPr="00CD0C90">
        <w:rPr>
          <w:rFonts w:asciiTheme="majorHAnsi" w:hAnsiTheme="majorHAnsi" w:cstheme="majorHAnsi"/>
          <w:b/>
          <w:bCs/>
          <w:color w:val="D49E21"/>
          <w:sz w:val="52"/>
          <w:szCs w:val="52"/>
        </w:rPr>
        <w:t>MINISTERIO DE MINAS Y ENERGÍA</w:t>
      </w:r>
    </w:p>
    <w:p w14:paraId="47923CAE" w14:textId="77777777" w:rsidR="00A010CE" w:rsidRPr="00C24D00" w:rsidRDefault="5B82F1A0" w:rsidP="00984829">
      <w:pPr>
        <w:jc w:val="center"/>
        <w:rPr>
          <w:rFonts w:asciiTheme="majorHAnsi" w:hAnsiTheme="majorHAnsi" w:cstheme="majorHAnsi"/>
          <w:b/>
          <w:bCs/>
          <w:color w:val="D49E21"/>
          <w:sz w:val="52"/>
          <w:szCs w:val="52"/>
        </w:rPr>
      </w:pPr>
      <w:r w:rsidRPr="00CD0C90">
        <w:rPr>
          <w:rFonts w:asciiTheme="majorHAnsi" w:hAnsiTheme="majorHAnsi" w:cstheme="majorHAnsi"/>
          <w:b/>
          <w:bCs/>
          <w:color w:val="D49E21"/>
          <w:sz w:val="52"/>
          <w:szCs w:val="52"/>
        </w:rPr>
        <w:t>2026</w:t>
      </w:r>
      <w:bookmarkStart w:id="1" w:name="_Toc235092538"/>
    </w:p>
    <w:p w14:paraId="502EAAE3" w14:textId="77777777" w:rsidR="00E33FDE" w:rsidRDefault="00C72D7D" w:rsidP="00A86834">
      <w:pPr>
        <w:pStyle w:val="TtuloTDC"/>
      </w:pPr>
      <w:r>
        <w:lastRenderedPageBreak/>
        <w:t>Contenido</w:t>
      </w:r>
    </w:p>
    <w:p w14:paraId="295EB1D7" w14:textId="77777777" w:rsidR="00E33FDE" w:rsidRDefault="00C72D7D">
      <w:pPr>
        <w:pStyle w:val="TDC1"/>
        <w:tabs>
          <w:tab w:val="right" w:leader="dot" w:pos="9394"/>
        </w:tabs>
        <w:rPr>
          <w:noProof/>
        </w:rPr>
      </w:pPr>
      <w:hyperlink w:anchor="_Toc235107918" w:history="1">
        <w:r>
          <w:rPr>
            <w:rStyle w:val="Hipervnculo"/>
            <w:noProof/>
          </w:rPr>
          <w:t>Contexto del proyecto</w:t>
        </w:r>
        <w:r>
          <w:rPr>
            <w:noProof/>
          </w:rPr>
          <w:tab/>
        </w:r>
        <w:r>
          <w:rPr>
            <w:noProof/>
          </w:rPr>
          <w:fldChar w:fldCharType="begin" w:fldLock="1"/>
        </w:r>
        <w:r>
          <w:rPr>
            <w:noProof/>
          </w:rPr>
          <w:instrText xml:space="preserve"> PAGEREF _Toc235107918 \h </w:instrText>
        </w:r>
        <w:r>
          <w:rPr>
            <w:noProof/>
          </w:rPr>
        </w:r>
        <w:r>
          <w:rPr>
            <w:noProof/>
          </w:rPr>
          <w:fldChar w:fldCharType="separate"/>
        </w:r>
        <w:r>
          <w:rPr>
            <w:noProof/>
          </w:rPr>
          <w:t>3</w:t>
        </w:r>
        <w:r>
          <w:rPr>
            <w:noProof/>
          </w:rPr>
          <w:fldChar w:fldCharType="end"/>
        </w:r>
      </w:hyperlink>
    </w:p>
    <w:p w14:paraId="30D943BF" w14:textId="77777777" w:rsidR="00E33FDE" w:rsidRDefault="00C72D7D">
      <w:pPr>
        <w:pStyle w:val="TDC1"/>
        <w:tabs>
          <w:tab w:val="right" w:leader="dot" w:pos="9394"/>
        </w:tabs>
        <w:rPr>
          <w:noProof/>
        </w:rPr>
      </w:pPr>
      <w:hyperlink w:anchor="_Toc235107919" w:history="1">
        <w:r>
          <w:rPr>
            <w:rStyle w:val="Hipervnculo"/>
            <w:noProof/>
          </w:rPr>
          <w:t>Objetivos</w:t>
        </w:r>
        <w:r>
          <w:rPr>
            <w:noProof/>
          </w:rPr>
          <w:tab/>
        </w:r>
        <w:r>
          <w:rPr>
            <w:noProof/>
          </w:rPr>
          <w:fldChar w:fldCharType="begin" w:fldLock="1"/>
        </w:r>
        <w:r>
          <w:rPr>
            <w:noProof/>
          </w:rPr>
          <w:instrText xml:space="preserve"> PAGEREF _Toc235107919 \h </w:instrText>
        </w:r>
        <w:r>
          <w:rPr>
            <w:noProof/>
          </w:rPr>
        </w:r>
        <w:r>
          <w:rPr>
            <w:noProof/>
          </w:rPr>
          <w:fldChar w:fldCharType="separate"/>
        </w:r>
        <w:r>
          <w:rPr>
            <w:noProof/>
          </w:rPr>
          <w:t>3</w:t>
        </w:r>
        <w:r>
          <w:rPr>
            <w:noProof/>
          </w:rPr>
          <w:fldChar w:fldCharType="end"/>
        </w:r>
      </w:hyperlink>
    </w:p>
    <w:p w14:paraId="1A08CA89" w14:textId="769DCBFF" w:rsidR="00E33FDE" w:rsidRDefault="00C72D7D">
      <w:pPr>
        <w:pStyle w:val="TDC1"/>
        <w:tabs>
          <w:tab w:val="right" w:leader="dot" w:pos="9394"/>
        </w:tabs>
        <w:rPr>
          <w:noProof/>
        </w:rPr>
      </w:pPr>
      <w:hyperlink w:anchor="_Toc235107924" w:history="1">
        <w:r>
          <w:rPr>
            <w:rStyle w:val="Hipervnculo"/>
            <w:noProof/>
          </w:rPr>
          <w:t>Descripción del Proy</w:t>
        </w:r>
        <w:r>
          <w:rPr>
            <w:rStyle w:val="Hipervnculo"/>
            <w:noProof/>
          </w:rPr>
          <w:t>ecto</w:t>
        </w:r>
        <w:r>
          <w:rPr>
            <w:noProof/>
          </w:rPr>
          <w:tab/>
        </w:r>
        <w:r>
          <w:rPr>
            <w:noProof/>
          </w:rPr>
          <w:fldChar w:fldCharType="begin" w:fldLock="1"/>
        </w:r>
        <w:r>
          <w:rPr>
            <w:noProof/>
          </w:rPr>
          <w:instrText xml:space="preserve"> PAGEREF _Toc235107924 \h </w:instrText>
        </w:r>
        <w:r>
          <w:rPr>
            <w:noProof/>
          </w:rPr>
        </w:r>
        <w:r>
          <w:rPr>
            <w:noProof/>
          </w:rPr>
          <w:fldChar w:fldCharType="separate"/>
        </w:r>
        <w:r>
          <w:rPr>
            <w:noProof/>
          </w:rPr>
          <w:t>4</w:t>
        </w:r>
        <w:r>
          <w:rPr>
            <w:noProof/>
          </w:rPr>
          <w:fldChar w:fldCharType="end"/>
        </w:r>
      </w:hyperlink>
    </w:p>
    <w:p w14:paraId="1EA7E86E" w14:textId="732B93A7" w:rsidR="00670862" w:rsidRPr="00670862" w:rsidRDefault="00670862" w:rsidP="00670862">
      <w:r w:rsidRPr="00670862">
        <w:rPr>
          <w:rStyle w:val="Hipervnculo"/>
          <w:noProof/>
        </w:rPr>
        <w:t>Panorama General de los Ejes Temáticos</w:t>
      </w:r>
      <w:r w:rsidRPr="00670862">
        <w:rPr>
          <w:color w:val="4F81BD" w:themeColor="accent1"/>
        </w:rPr>
        <w:t xml:space="preserve"> </w:t>
      </w:r>
      <w:r>
        <w:t>…………………………………………………………………………………</w:t>
      </w:r>
      <w:proofErr w:type="gramStart"/>
      <w:r>
        <w:t>…….</w:t>
      </w:r>
      <w:proofErr w:type="gramEnd"/>
      <w:r>
        <w:t>.…….. 6</w:t>
      </w:r>
    </w:p>
    <w:p w14:paraId="5E4E9C92" w14:textId="7850D737" w:rsidR="00E33FDE" w:rsidRDefault="00C72D7D">
      <w:pPr>
        <w:pStyle w:val="TDC1"/>
        <w:tabs>
          <w:tab w:val="right" w:leader="dot" w:pos="9394"/>
        </w:tabs>
        <w:rPr>
          <w:noProof/>
        </w:rPr>
      </w:pPr>
      <w:hyperlink w:anchor="BM_EjeHidrocarburos" w:history="1">
        <w:r>
          <w:rPr>
            <w:rStyle w:val="Hipervnculo"/>
            <w:noProof/>
          </w:rPr>
          <w:t>Eje Hidrocarburos</w:t>
        </w:r>
        <w:r>
          <w:rPr>
            <w:noProof/>
          </w:rPr>
          <w:tab/>
        </w:r>
        <w:r w:rsidR="00E03F7E">
          <w:rPr>
            <w:noProof/>
          </w:rPr>
          <w:t>8</w:t>
        </w:r>
      </w:hyperlink>
    </w:p>
    <w:p w14:paraId="08D96CBA" w14:textId="6E724F85" w:rsidR="00E33FDE" w:rsidRDefault="00C72D7D">
      <w:pPr>
        <w:pStyle w:val="TDC1"/>
        <w:tabs>
          <w:tab w:val="right" w:leader="dot" w:pos="9394"/>
        </w:tabs>
        <w:rPr>
          <w:noProof/>
        </w:rPr>
      </w:pPr>
      <w:hyperlink w:anchor="BM_EjeMineria" w:history="1">
        <w:r>
          <w:rPr>
            <w:rStyle w:val="Hipervnculo"/>
            <w:noProof/>
          </w:rPr>
          <w:t>Eje Minería</w:t>
        </w:r>
        <w:r>
          <w:rPr>
            <w:noProof/>
          </w:rPr>
          <w:tab/>
        </w:r>
        <w:r w:rsidR="00E03F7E">
          <w:rPr>
            <w:noProof/>
          </w:rPr>
          <w:t>41</w:t>
        </w:r>
      </w:hyperlink>
    </w:p>
    <w:p w14:paraId="182CCD53" w14:textId="3B3A6384" w:rsidR="00E33FDE" w:rsidRDefault="00C72D7D">
      <w:pPr>
        <w:pStyle w:val="TDC1"/>
        <w:tabs>
          <w:tab w:val="right" w:leader="dot" w:pos="9394"/>
        </w:tabs>
        <w:rPr>
          <w:noProof/>
        </w:rPr>
      </w:pPr>
      <w:hyperlink w:anchor="BM_EjeEnergia" w:history="1">
        <w:r>
          <w:rPr>
            <w:rStyle w:val="Hipervnculo"/>
            <w:noProof/>
          </w:rPr>
          <w:t>Eje Energía</w:t>
        </w:r>
        <w:r>
          <w:rPr>
            <w:noProof/>
          </w:rPr>
          <w:tab/>
        </w:r>
        <w:r w:rsidR="00E03F7E">
          <w:rPr>
            <w:noProof/>
          </w:rPr>
          <w:t>43</w:t>
        </w:r>
      </w:hyperlink>
    </w:p>
    <w:p w14:paraId="09CDB402" w14:textId="2C2D4DE9" w:rsidR="00E33FDE" w:rsidRDefault="00C72D7D">
      <w:pPr>
        <w:pStyle w:val="TDC1"/>
        <w:tabs>
          <w:tab w:val="right" w:leader="dot" w:pos="9394"/>
        </w:tabs>
        <w:rPr>
          <w:noProof/>
        </w:rPr>
      </w:pPr>
      <w:hyperlink w:anchor="BM_EjeLegislativo" w:history="1">
        <w:r>
          <w:rPr>
            <w:rStyle w:val="Hipervnculo"/>
            <w:noProof/>
          </w:rPr>
          <w:t>Eje Legislativo</w:t>
        </w:r>
        <w:r>
          <w:rPr>
            <w:noProof/>
          </w:rPr>
          <w:tab/>
        </w:r>
      </w:hyperlink>
      <w:r w:rsidR="00E03F7E">
        <w:rPr>
          <w:noProof/>
        </w:rPr>
        <w:t>91</w:t>
      </w:r>
    </w:p>
    <w:p w14:paraId="337F75D0" w14:textId="77777777" w:rsidR="00E33FDE" w:rsidRDefault="00C72D7D">
      <w:pPr>
        <w:pStyle w:val="TDC1"/>
        <w:tabs>
          <w:tab w:val="right" w:leader="dot" w:pos="9394"/>
        </w:tabs>
        <w:rPr>
          <w:noProof/>
        </w:rPr>
      </w:pPr>
      <w:hyperlink w:anchor="BM_EjeTransversal" w:history="1">
        <w:r>
          <w:rPr>
            <w:rStyle w:val="Hipervnculo"/>
            <w:noProof/>
          </w:rPr>
          <w:t>Eje Transversal</w:t>
        </w:r>
        <w:r>
          <w:rPr>
            <w:noProof/>
          </w:rPr>
          <w:tab/>
        </w:r>
        <w:r>
          <w:rPr>
            <w:noProof/>
          </w:rPr>
          <w:fldChar w:fldCharType="begin" w:fldLock="1"/>
        </w:r>
        <w:r>
          <w:rPr>
            <w:noProof/>
          </w:rPr>
          <w:instrText xml:space="preserve"> PAGEREF BM_EjeTransversal \h </w:instrText>
        </w:r>
        <w:r>
          <w:rPr>
            <w:noProof/>
          </w:rPr>
        </w:r>
        <w:r>
          <w:rPr>
            <w:noProof/>
          </w:rPr>
          <w:fldChar w:fldCharType="separate"/>
        </w:r>
        <w:r>
          <w:rPr>
            <w:noProof/>
          </w:rPr>
          <w:t>191</w:t>
        </w:r>
        <w:r>
          <w:rPr>
            <w:noProof/>
          </w:rPr>
          <w:fldChar w:fldCharType="end"/>
        </w:r>
      </w:hyperlink>
    </w:p>
    <w:p w14:paraId="3BD7722C" w14:textId="77777777" w:rsidR="00E33FDE" w:rsidRDefault="00C72D7D">
      <w:r>
        <w:br w:type="page"/>
      </w:r>
    </w:p>
    <w:p w14:paraId="5343D202" w14:textId="77777777" w:rsidR="006245F7" w:rsidRPr="008757C2" w:rsidRDefault="006245F7" w:rsidP="00A86834">
      <w:pPr>
        <w:pStyle w:val="Ttulo1"/>
        <w:rPr>
          <w:lang w:val="es-ES"/>
        </w:rPr>
      </w:pPr>
      <w:bookmarkStart w:id="2" w:name="_Toc235107918"/>
      <w:r w:rsidRPr="008757C2">
        <w:rPr>
          <w:lang w:val="es-ES"/>
        </w:rPr>
        <w:lastRenderedPageBreak/>
        <w:t>Contexto del proyecto</w:t>
      </w:r>
      <w:bookmarkEnd w:id="1"/>
      <w:bookmarkEnd w:id="2"/>
    </w:p>
    <w:p w14:paraId="6BDC7043" w14:textId="77777777" w:rsidR="006245F7" w:rsidRPr="008757C2" w:rsidRDefault="006245F7" w:rsidP="00984829">
      <w:pPr>
        <w:jc w:val="both"/>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El Plan Nacional de Desarrollo (PND) 2022-2026 “Colombia: Potencia Mundial de la</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Vida” establece que la Transición Energética Justa (TEJ) se comprende y materializa desde un</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enfoque de justicia social, ambiental y energética, que plantea una perspectiva de equidad en la</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distribución de cargas y beneficios asociados a proyectos minero-energéticos y sus transiciones.</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En ese sentido, el sector minero energético, tiene como objetivo orientar sus acciones para</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avanzar hacia una Transición Energética Justa (TEJ).</w:t>
      </w:r>
    </w:p>
    <w:p w14:paraId="02CBBCDE" w14:textId="77777777" w:rsidR="006245F7" w:rsidRPr="008757C2" w:rsidRDefault="006245F7" w:rsidP="00984829">
      <w:pPr>
        <w:jc w:val="both"/>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Lo anterior constituye un reto, dado que la transición energética no significa solamente</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el cambio de la matriz energética, sino una apuesta que vincula aspectos sociales, culturales y</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ambientales que permitan una transformación en la relación y gestión de todos los actores</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sociales y del mercado. Para introducir las transformaciones que se requieren para la</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consolidación de la TEJ, es fundamental que se implementen transformaciones en la entidad,</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mediante el fortalecimiento institucional, que contribuyan a mejorar el vínculo</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“Estado-Ciudadanía”, es así como responder de manera oportuna a las problemáticas sociales.</w:t>
      </w:r>
    </w:p>
    <w:p w14:paraId="5D19544F" w14:textId="77777777" w:rsidR="006245F7" w:rsidRPr="008757C2" w:rsidRDefault="006245F7" w:rsidP="00A86834">
      <w:pPr>
        <w:pStyle w:val="Ttulo1"/>
        <w:rPr>
          <w:lang w:val="es-ES"/>
        </w:rPr>
      </w:pPr>
      <w:bookmarkStart w:id="3" w:name="_Toc235092539"/>
      <w:bookmarkStart w:id="4" w:name="_Toc235107919"/>
      <w:r w:rsidRPr="008757C2">
        <w:rPr>
          <w:lang w:val="es-ES"/>
        </w:rPr>
        <w:t>Objetivos</w:t>
      </w:r>
      <w:bookmarkEnd w:id="3"/>
      <w:bookmarkEnd w:id="4"/>
    </w:p>
    <w:p w14:paraId="2FC4355E" w14:textId="77777777" w:rsidR="006245F7" w:rsidRPr="008757C2" w:rsidRDefault="006245F7" w:rsidP="00984829">
      <w:pPr>
        <w:pStyle w:val="Ttulo2"/>
        <w:rPr>
          <w:sz w:val="22"/>
          <w:szCs w:val="22"/>
          <w:lang w:val="es-ES"/>
        </w:rPr>
      </w:pPr>
      <w:bookmarkStart w:id="5" w:name="_Toc235092540"/>
      <w:bookmarkStart w:id="6" w:name="_Toc235107920"/>
      <w:r w:rsidRPr="008757C2">
        <w:rPr>
          <w:sz w:val="22"/>
          <w:szCs w:val="22"/>
          <w:lang w:val="es-ES"/>
        </w:rPr>
        <w:t>Objetivo General del proyecto</w:t>
      </w:r>
      <w:bookmarkEnd w:id="5"/>
      <w:bookmarkEnd w:id="6"/>
    </w:p>
    <w:p w14:paraId="15401963" w14:textId="77777777" w:rsidR="006245F7" w:rsidRPr="008757C2" w:rsidRDefault="006245F7" w:rsidP="00984829">
      <w:pPr>
        <w:jc w:val="both"/>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Fortalecer el análisis estratégico sectorial y legislativo para el impulso de la Transición</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Energética Justa.</w:t>
      </w:r>
    </w:p>
    <w:p w14:paraId="571AB452" w14:textId="77777777" w:rsidR="006245F7" w:rsidRPr="008757C2" w:rsidRDefault="006245F7" w:rsidP="00984829">
      <w:pPr>
        <w:pStyle w:val="Ttulo2"/>
        <w:rPr>
          <w:sz w:val="22"/>
          <w:szCs w:val="22"/>
          <w:lang w:val="es-ES"/>
        </w:rPr>
      </w:pPr>
      <w:bookmarkStart w:id="7" w:name="_Toc235092541"/>
      <w:bookmarkStart w:id="8" w:name="_Toc235107921"/>
      <w:r w:rsidRPr="008757C2">
        <w:rPr>
          <w:sz w:val="22"/>
          <w:szCs w:val="22"/>
          <w:lang w:val="es-ES"/>
        </w:rPr>
        <w:t>Objetivos Específicos</w:t>
      </w:r>
      <w:bookmarkEnd w:id="7"/>
      <w:bookmarkEnd w:id="8"/>
    </w:p>
    <w:p w14:paraId="368480F6" w14:textId="77777777" w:rsidR="006245F7" w:rsidRPr="008757C2" w:rsidRDefault="006245F7" w:rsidP="00984829">
      <w:pPr>
        <w:pStyle w:val="Ttulo3"/>
        <w:rPr>
          <w:sz w:val="22"/>
          <w:szCs w:val="22"/>
          <w:lang w:val="es-ES"/>
        </w:rPr>
      </w:pPr>
      <w:bookmarkStart w:id="9" w:name="_Toc235092542"/>
      <w:bookmarkStart w:id="10" w:name="_Toc235107922"/>
      <w:r w:rsidRPr="008757C2">
        <w:rPr>
          <w:sz w:val="22"/>
          <w:szCs w:val="22"/>
          <w:lang w:val="es-ES"/>
        </w:rPr>
        <w:t>Mejorar el desarrollo de análisis legislativo</w:t>
      </w:r>
      <w:bookmarkEnd w:id="9"/>
      <w:bookmarkEnd w:id="10"/>
    </w:p>
    <w:p w14:paraId="145428AC" w14:textId="77777777" w:rsidR="006245F7" w:rsidRPr="008757C2" w:rsidRDefault="006245F7" w:rsidP="00984829">
      <w:pPr>
        <w:jc w:val="both"/>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Este objetivo busca mejorar la calidad y eficiencia en el desarrollo del análisis</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legislativo del sector. Para ello, se plantea diseñar una metodología que permita establecer de</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qué manera el Ministerio de Minas y Energía puede lograr mejorar el análisis estratégico</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sectorial en el marco del relacionamiento con el Congreso de la República y los grupos de</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interés y valor para la TEJ. Esta metodología debe responder a tres necesidades asociadas al</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problema central, a saber: a) construir y diseñar herramientas metodológicas que permitan una</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adecuada identificación, análisis y caracterización de los grupos de valor e interés con los que el</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Ministerio se relaciona en el marco de su quehacer legislativo; b) identificar mecanismos que</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lastRenderedPageBreak/>
        <w:t>fortalezcan la toma de decisiones orientadas a crear espacios de intercambio, diálogo,</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seguimiento y relacionamiento con los grupos de valor e interés que inciden en la discusiones</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político legislativas de la TEJ; c) desarrollar lineamientos para la gestión del conocimiento</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sectorial y legislativo.</w:t>
      </w:r>
    </w:p>
    <w:p w14:paraId="7BA91703" w14:textId="77777777" w:rsidR="006245F7" w:rsidRPr="008757C2" w:rsidRDefault="006245F7" w:rsidP="00984829">
      <w:pPr>
        <w:pStyle w:val="Ttulo3"/>
        <w:rPr>
          <w:sz w:val="22"/>
          <w:szCs w:val="22"/>
          <w:lang w:val="es-ES"/>
        </w:rPr>
      </w:pPr>
      <w:bookmarkStart w:id="11" w:name="_Toc235092543"/>
      <w:bookmarkStart w:id="12" w:name="_Toc235107923"/>
      <w:r w:rsidRPr="008757C2">
        <w:rPr>
          <w:sz w:val="22"/>
          <w:szCs w:val="22"/>
          <w:lang w:val="es-ES"/>
        </w:rPr>
        <w:t>Fortalecer la apropiación institucional de la oferta pública del sector</w:t>
      </w:r>
      <w:bookmarkEnd w:id="11"/>
      <w:bookmarkEnd w:id="12"/>
    </w:p>
    <w:p w14:paraId="20E4C7B3" w14:textId="77777777" w:rsidR="006245F7" w:rsidRPr="008757C2" w:rsidRDefault="006245F7" w:rsidP="00984829">
      <w:pPr>
        <w:jc w:val="both"/>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Este objetivo busca implementar la estrategia de análisis sectorial y legislativo con el fin</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de fortalecer y retroalimentar la apropiación institucional para garantizar que los grupos de</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valor puedan acceder a la oferta pública del Ministerio de Minas y Energía. En ese sentido, con</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la implementación de la estrategia se espera identificar la oferta de la entidad en el marco de los</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subsectores de energía, minería e hidrocarburos. Se espera definir los mecanismos, arquitectura</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organizacional y narrativas dirigidas a los grupos de valor para dar a conocer la oferta</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institucional. Dicha oferta está en el marco de la política de TEJ.</w:t>
      </w:r>
    </w:p>
    <w:p w14:paraId="03CDF061" w14:textId="77777777" w:rsidR="006245F7" w:rsidRPr="008757C2" w:rsidRDefault="006245F7" w:rsidP="00984829">
      <w:pPr>
        <w:pStyle w:val="Ttulo2"/>
        <w:rPr>
          <w:sz w:val="22"/>
          <w:szCs w:val="22"/>
          <w:lang w:val="es-ES"/>
        </w:rPr>
      </w:pPr>
      <w:bookmarkStart w:id="13" w:name="_Toc235092544"/>
      <w:bookmarkStart w:id="14" w:name="_Toc235107924"/>
      <w:r w:rsidRPr="008757C2">
        <w:rPr>
          <w:sz w:val="22"/>
          <w:szCs w:val="22"/>
          <w:lang w:val="es-ES"/>
        </w:rPr>
        <w:t>Descripción del Proyecto</w:t>
      </w:r>
      <w:bookmarkEnd w:id="13"/>
      <w:bookmarkEnd w:id="14"/>
    </w:p>
    <w:p w14:paraId="0E8B5E42" w14:textId="77777777" w:rsidR="006245F7" w:rsidRPr="008757C2" w:rsidRDefault="006245F7" w:rsidP="00984829">
      <w:pPr>
        <w:jc w:val="both"/>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El proyecto de inversión denominado “Fortalecimiento del análisis estratégico sectorial</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y legislativo del Ministerio de Minas y Energía en el marco de la Transición Energética Justa”,</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busca el desarrollo de una estrategia que establezca métodos, herramientas analíticas,</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instrumentos o procesos que permitan realizar un análisis sectorial y legislativo para el impulso</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de la TEJ. Esto es fundamental de cara a garantizar efectividad e integralidad en la aplicación</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de la política pública asociada al desarrollo de la TEJ.</w:t>
      </w:r>
    </w:p>
    <w:p w14:paraId="13ABB31D" w14:textId="77777777" w:rsidR="006245F7" w:rsidRPr="008757C2" w:rsidRDefault="006245F7" w:rsidP="00984829">
      <w:pPr>
        <w:jc w:val="both"/>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De acuerdo a los objetivos trazados, el proyecto define los siguientes productos:</w:t>
      </w:r>
    </w:p>
    <w:tbl>
      <w:tblPr>
        <w:tblStyle w:val="Tabladelista2-nfasis6"/>
        <w:tblW w:w="0" w:type="auto"/>
        <w:tblLook w:val="04A0" w:firstRow="1" w:lastRow="0" w:firstColumn="1" w:lastColumn="0" w:noHBand="0" w:noVBand="1"/>
      </w:tblPr>
      <w:tblGrid>
        <w:gridCol w:w="3686"/>
        <w:gridCol w:w="1701"/>
        <w:gridCol w:w="2268"/>
        <w:gridCol w:w="1739"/>
      </w:tblGrid>
      <w:tr w:rsidR="00516FF5" w:rsidRPr="008757C2" w14:paraId="6433784E" w14:textId="77777777" w:rsidTr="00516F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vAlign w:val="center"/>
          </w:tcPr>
          <w:p w14:paraId="3D032EA9" w14:textId="77777777" w:rsidR="00516FF5" w:rsidRPr="008757C2" w:rsidRDefault="00516FF5" w:rsidP="00984829">
            <w:pPr>
              <w:jc w:val="center"/>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Objetivo específico</w:t>
            </w:r>
          </w:p>
        </w:tc>
        <w:tc>
          <w:tcPr>
            <w:tcW w:w="1701" w:type="dxa"/>
            <w:vAlign w:val="center"/>
          </w:tcPr>
          <w:p w14:paraId="3E21DC0A" w14:textId="77777777" w:rsidR="00516FF5" w:rsidRPr="008757C2" w:rsidRDefault="00516FF5" w:rsidP="00984829">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Producto</w:t>
            </w:r>
          </w:p>
        </w:tc>
        <w:tc>
          <w:tcPr>
            <w:tcW w:w="2268" w:type="dxa"/>
            <w:vAlign w:val="center"/>
          </w:tcPr>
          <w:p w14:paraId="340352E3" w14:textId="77777777" w:rsidR="00516FF5" w:rsidRPr="008757C2" w:rsidRDefault="00516FF5" w:rsidP="00984829">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Año</w:t>
            </w:r>
          </w:p>
        </w:tc>
        <w:tc>
          <w:tcPr>
            <w:tcW w:w="1739" w:type="dxa"/>
            <w:vAlign w:val="center"/>
          </w:tcPr>
          <w:p w14:paraId="7E8F8D7A" w14:textId="77777777" w:rsidR="00516FF5" w:rsidRPr="008757C2" w:rsidRDefault="00516FF5" w:rsidP="00984829">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Meta</w:t>
            </w:r>
          </w:p>
        </w:tc>
      </w:tr>
      <w:tr w:rsidR="00516FF5" w:rsidRPr="008757C2" w14:paraId="3A1B2091" w14:textId="77777777" w:rsidTr="00516F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vAlign w:val="center"/>
          </w:tcPr>
          <w:p w14:paraId="259B3343" w14:textId="77777777" w:rsidR="00516FF5" w:rsidRPr="008757C2" w:rsidRDefault="00516FF5" w:rsidP="00984829">
            <w:pPr>
              <w:jc w:val="center"/>
              <w:rPr>
                <w:rFonts w:asciiTheme="majorHAnsi" w:hAnsiTheme="majorHAnsi" w:cstheme="majorHAnsi"/>
                <w:b w:val="0"/>
                <w:bCs w:val="0"/>
                <w:color w:val="000000" w:themeColor="text1"/>
                <w:lang w:val="es-ES"/>
              </w:rPr>
            </w:pPr>
            <w:r w:rsidRPr="008757C2">
              <w:rPr>
                <w:rFonts w:asciiTheme="majorHAnsi" w:hAnsiTheme="majorHAnsi" w:cstheme="majorHAnsi"/>
                <w:b w:val="0"/>
                <w:bCs w:val="0"/>
                <w:color w:val="000000" w:themeColor="text1"/>
                <w:lang w:val="es-ES"/>
              </w:rPr>
              <w:t>Mejorar el desarrollo de análisis legislativo</w:t>
            </w:r>
          </w:p>
        </w:tc>
        <w:tc>
          <w:tcPr>
            <w:tcW w:w="1701" w:type="dxa"/>
            <w:vAlign w:val="center"/>
          </w:tcPr>
          <w:p w14:paraId="4E0A4C88" w14:textId="77777777" w:rsidR="00516FF5" w:rsidRPr="008757C2" w:rsidRDefault="00516FF5" w:rsidP="00984829">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Documentos metodológicos</w:t>
            </w:r>
          </w:p>
        </w:tc>
        <w:tc>
          <w:tcPr>
            <w:tcW w:w="2268" w:type="dxa"/>
            <w:vAlign w:val="center"/>
          </w:tcPr>
          <w:p w14:paraId="7C26EA46" w14:textId="77777777" w:rsidR="00516FF5" w:rsidRPr="008757C2" w:rsidRDefault="00516FF5" w:rsidP="00984829">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2025</w:t>
            </w:r>
          </w:p>
        </w:tc>
        <w:tc>
          <w:tcPr>
            <w:tcW w:w="1739" w:type="dxa"/>
            <w:vAlign w:val="center"/>
          </w:tcPr>
          <w:p w14:paraId="7BF67CB5" w14:textId="77777777" w:rsidR="00516FF5" w:rsidRPr="008757C2" w:rsidRDefault="00516FF5" w:rsidP="00984829">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2</w:t>
            </w:r>
          </w:p>
        </w:tc>
      </w:tr>
      <w:tr w:rsidR="00516FF5" w:rsidRPr="008757C2" w14:paraId="3C3AB069" w14:textId="77777777" w:rsidTr="00516FF5">
        <w:tc>
          <w:tcPr>
            <w:cnfStyle w:val="001000000000" w:firstRow="0" w:lastRow="0" w:firstColumn="1" w:lastColumn="0" w:oddVBand="0" w:evenVBand="0" w:oddHBand="0" w:evenHBand="0" w:firstRowFirstColumn="0" w:firstRowLastColumn="0" w:lastRowFirstColumn="0" w:lastRowLastColumn="0"/>
            <w:tcW w:w="3686" w:type="dxa"/>
            <w:vAlign w:val="center"/>
          </w:tcPr>
          <w:p w14:paraId="3DBD3B69" w14:textId="77777777" w:rsidR="00516FF5" w:rsidRPr="008757C2" w:rsidRDefault="00516FF5" w:rsidP="00984829">
            <w:pPr>
              <w:jc w:val="center"/>
              <w:rPr>
                <w:rFonts w:asciiTheme="majorHAnsi" w:hAnsiTheme="majorHAnsi" w:cstheme="majorHAnsi"/>
                <w:b w:val="0"/>
                <w:bCs w:val="0"/>
                <w:color w:val="000000" w:themeColor="text1"/>
                <w:lang w:val="es-ES"/>
              </w:rPr>
            </w:pPr>
            <w:r w:rsidRPr="008757C2">
              <w:rPr>
                <w:rFonts w:asciiTheme="majorHAnsi" w:hAnsiTheme="majorHAnsi" w:cstheme="majorHAnsi"/>
                <w:b w:val="0"/>
                <w:bCs w:val="0"/>
                <w:color w:val="000000" w:themeColor="text1"/>
                <w:lang w:val="es-ES"/>
              </w:rPr>
              <w:t>Fortalecer la apropiación institucional de la oferta pública del sector</w:t>
            </w:r>
          </w:p>
        </w:tc>
        <w:tc>
          <w:tcPr>
            <w:tcW w:w="1701" w:type="dxa"/>
            <w:vAlign w:val="center"/>
          </w:tcPr>
          <w:p w14:paraId="1F9CF1BB" w14:textId="77777777" w:rsidR="00516FF5" w:rsidRPr="008757C2" w:rsidRDefault="00516FF5" w:rsidP="00984829">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Documentos de investigación</w:t>
            </w:r>
          </w:p>
        </w:tc>
        <w:tc>
          <w:tcPr>
            <w:tcW w:w="2268" w:type="dxa"/>
            <w:vAlign w:val="center"/>
          </w:tcPr>
          <w:p w14:paraId="62F24A74" w14:textId="77777777" w:rsidR="00516FF5" w:rsidRPr="008757C2" w:rsidRDefault="00516FF5" w:rsidP="00984829">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2026</w:t>
            </w:r>
          </w:p>
        </w:tc>
        <w:tc>
          <w:tcPr>
            <w:tcW w:w="1739" w:type="dxa"/>
            <w:vAlign w:val="center"/>
          </w:tcPr>
          <w:p w14:paraId="041F34D6" w14:textId="77777777" w:rsidR="00516FF5" w:rsidRPr="008757C2" w:rsidRDefault="00516FF5" w:rsidP="00984829">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5</w:t>
            </w:r>
          </w:p>
        </w:tc>
      </w:tr>
    </w:tbl>
    <w:p w14:paraId="328E8E9A" w14:textId="77777777" w:rsidR="00516FF5" w:rsidRPr="008757C2" w:rsidRDefault="00516FF5" w:rsidP="00984829">
      <w:pPr>
        <w:jc w:val="both"/>
        <w:rPr>
          <w:rFonts w:asciiTheme="majorHAnsi" w:hAnsiTheme="majorHAnsi" w:cstheme="majorHAnsi"/>
          <w:color w:val="000000" w:themeColor="text1"/>
          <w:lang w:val="es-ES"/>
        </w:rPr>
      </w:pPr>
    </w:p>
    <w:p w14:paraId="22017759" w14:textId="77777777" w:rsidR="006245F7" w:rsidRPr="008757C2" w:rsidRDefault="006245F7" w:rsidP="00984829">
      <w:pPr>
        <w:jc w:val="both"/>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Respecto a los documentos de investigación, estos implican la elaboración de</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documentos generados a partir de la recolección, análisis y procesamiento de la información a</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 xml:space="preserve">partir de los resultados arrojados de </w:t>
      </w:r>
      <w:r w:rsidRPr="008757C2">
        <w:rPr>
          <w:rFonts w:asciiTheme="majorHAnsi" w:hAnsiTheme="majorHAnsi" w:cstheme="majorHAnsi"/>
          <w:color w:val="000000" w:themeColor="text1"/>
          <w:lang w:val="es-ES"/>
        </w:rPr>
        <w:lastRenderedPageBreak/>
        <w:t>la implementación de la estrategia. Las temáticas por</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abordar en estos documentos corresponden a las líneas estratégicas que son:</w:t>
      </w:r>
    </w:p>
    <w:p w14:paraId="2D4C5D29" w14:textId="5EF6622F" w:rsidR="006245F7" w:rsidRPr="008757C2" w:rsidRDefault="006245F7" w:rsidP="00984829">
      <w:pPr>
        <w:jc w:val="both"/>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1. El pivote energía se centra en promover la energía como eje de desarrollo productivo y</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responsable con el medio ambiente. Se destaca la capacidad instalada y operativa de</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energía solar y eólica en el país, así como el plan 6GW para impulsar proyectos de</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generación a partir de fuentes no convencionales de energía renovable. Además, se</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menciona la implementación de Comunidades Energéticas como parte fundamental del</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plan, con la expedición del Decreto 2236 que reglamenta su funcionamiento.</w:t>
      </w:r>
      <w:r w:rsidR="00777C3B">
        <w:rPr>
          <w:rFonts w:asciiTheme="majorHAnsi" w:hAnsiTheme="majorHAnsi" w:cstheme="majorHAnsi"/>
          <w:color w:val="000000" w:themeColor="text1"/>
          <w:lang w:val="es-ES"/>
        </w:rPr>
        <w:t xml:space="preserve"> </w:t>
      </w:r>
      <w:r w:rsidR="00777C3B" w:rsidRPr="00777C3B">
        <w:rPr>
          <w:rFonts w:asciiTheme="majorHAnsi" w:hAnsiTheme="majorHAnsi" w:cstheme="majorHAnsi"/>
          <w:color w:val="000000" w:themeColor="text1"/>
          <w:lang w:val="es-ES"/>
        </w:rPr>
        <w:t>Adicionalmente, este pivote profundiza en la resiliencia climática del sistema eléctrico y en la necesidad de diversificar la matriz de generación para reducir la dependencia de fuentes hidroeléctricas</w:t>
      </w:r>
      <w:r w:rsidR="00777C3B">
        <w:rPr>
          <w:rFonts w:asciiTheme="majorHAnsi" w:hAnsiTheme="majorHAnsi" w:cstheme="majorHAnsi"/>
          <w:color w:val="000000" w:themeColor="text1"/>
          <w:lang w:val="es-ES"/>
        </w:rPr>
        <w:t>.</w:t>
      </w:r>
    </w:p>
    <w:p w14:paraId="659EC0D7" w14:textId="7EBE91D5" w:rsidR="006245F7" w:rsidRPr="008757C2" w:rsidRDefault="006245F7" w:rsidP="00984829">
      <w:pPr>
        <w:jc w:val="both"/>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2. El pivote de minería se enfoca en promover una minería responsable que respete las</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condiciones ambientales y contribuya a la Transición Energética Justa. Se propone un</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nuevo Marco Regulatorio para la Minería que incluya la modernización del modelo</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minero y la protección de la minería artesanal. También se destaca la creación de una</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Empresa Pública Colombiana de Minerales para promover el desarrollo económico y el</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bienestar social.</w:t>
      </w:r>
      <w:r w:rsidR="00777C3B">
        <w:rPr>
          <w:rFonts w:asciiTheme="majorHAnsi" w:hAnsiTheme="majorHAnsi" w:cstheme="majorHAnsi"/>
          <w:color w:val="000000" w:themeColor="text1"/>
          <w:lang w:val="es-ES"/>
        </w:rPr>
        <w:t xml:space="preserve"> </w:t>
      </w:r>
      <w:r w:rsidR="00777C3B" w:rsidRPr="00777C3B">
        <w:rPr>
          <w:rFonts w:asciiTheme="majorHAnsi" w:hAnsiTheme="majorHAnsi" w:cstheme="majorHAnsi"/>
          <w:color w:val="000000" w:themeColor="text1"/>
          <w:lang w:val="es-ES"/>
        </w:rPr>
        <w:t>Este pivote se articula, además, con las fases del Plan Nacional de Desarrollo Minero, y pone énfasis en el fortalecimiento del vínculo entre el Estado y las comunidades mineras.</w:t>
      </w:r>
    </w:p>
    <w:p w14:paraId="1658D4DF" w14:textId="5EBFD77C" w:rsidR="006245F7" w:rsidRPr="008757C2" w:rsidRDefault="006245F7" w:rsidP="00984829">
      <w:pPr>
        <w:jc w:val="both"/>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3. El pivote hidrocarburos busca promover la eficiencia en la exploración y explotación</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de hidrocarburos mientras se avanza en el fomento de nuevos energéticos para</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garantizar la soberanía energética del país. Se mencionan acciones para la gestión</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 xml:space="preserve">eficiente de los recursos </w:t>
      </w:r>
      <w:proofErr w:type="spellStart"/>
      <w:r w:rsidRPr="008757C2">
        <w:rPr>
          <w:rFonts w:asciiTheme="majorHAnsi" w:hAnsiTheme="majorHAnsi" w:cstheme="majorHAnsi"/>
          <w:color w:val="000000" w:themeColor="text1"/>
          <w:lang w:val="es-ES"/>
        </w:rPr>
        <w:t>hidrocarburíferos</w:t>
      </w:r>
      <w:proofErr w:type="spellEnd"/>
      <w:r w:rsidRPr="008757C2">
        <w:rPr>
          <w:rFonts w:asciiTheme="majorHAnsi" w:hAnsiTheme="majorHAnsi" w:cstheme="majorHAnsi"/>
          <w:color w:val="000000" w:themeColor="text1"/>
          <w:lang w:val="es-ES"/>
        </w:rPr>
        <w:t>, la diversificación energética y la</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sostenibilidad ambiental, incluyendo la exploración de nuevas fuentes como la</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geotermia, el hidrógeno, la biomasa y la energía eólica costa afuera.</w:t>
      </w:r>
      <w:r w:rsidR="00777C3B">
        <w:rPr>
          <w:rFonts w:asciiTheme="majorHAnsi" w:hAnsiTheme="majorHAnsi" w:cstheme="majorHAnsi"/>
          <w:color w:val="000000" w:themeColor="text1"/>
          <w:lang w:val="es-ES"/>
        </w:rPr>
        <w:t xml:space="preserve"> </w:t>
      </w:r>
      <w:r w:rsidR="00777C3B">
        <w:t>El análisis de este pivote también examina los riesgos fiscales derivados de la dependencia histórica de las exportaciones de hidrocarburos y carbón, en un contexto de transición energética global</w:t>
      </w:r>
      <w:r w:rsidR="00777C3B">
        <w:t xml:space="preserve">. </w:t>
      </w:r>
    </w:p>
    <w:p w14:paraId="68EB1D8A" w14:textId="359DC2B0" w:rsidR="006245F7" w:rsidRPr="008757C2" w:rsidRDefault="006245F7" w:rsidP="00984829">
      <w:pPr>
        <w:jc w:val="both"/>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4. El pivote transversal establece las prioridades estratégicas que son transversales a los</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pivotes antes mencionados y que son fundamentales para la materialización de la</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Transición Energética Justa. En dichas prioridades se destaca la estrategia de</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comunicación y las alianzas con distintos actores para la consecución de recursos que</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permitan implementar proyectos TEJ.</w:t>
      </w:r>
      <w:r w:rsidR="00777C3B">
        <w:rPr>
          <w:rFonts w:asciiTheme="majorHAnsi" w:hAnsiTheme="majorHAnsi" w:cstheme="majorHAnsi"/>
          <w:color w:val="000000" w:themeColor="text1"/>
          <w:lang w:val="es-ES"/>
        </w:rPr>
        <w:t xml:space="preserve"> </w:t>
      </w:r>
      <w:r w:rsidR="00777C3B">
        <w:t xml:space="preserve">Este eje opera como un mecanismo de </w:t>
      </w:r>
      <w:r w:rsidR="00777C3B">
        <w:lastRenderedPageBreak/>
        <w:t>lectura integrada de las interdependencias entre los pivotes sectoriales, identificando puntos de conexión y necesidades de articulación institucional que no siempre son evidentes desde un análisis sectorial aislado.</w:t>
      </w:r>
    </w:p>
    <w:p w14:paraId="72332A9A" w14:textId="0D5F51F9" w:rsidR="00F24A71" w:rsidRDefault="006245F7" w:rsidP="00806832">
      <w:pPr>
        <w:jc w:val="both"/>
        <w:rPr>
          <w:rFonts w:asciiTheme="majorHAnsi" w:hAnsiTheme="majorHAnsi" w:cstheme="majorHAnsi"/>
          <w:color w:val="000000" w:themeColor="text1"/>
          <w:lang w:val="es-ES"/>
        </w:rPr>
      </w:pPr>
      <w:r w:rsidRPr="008757C2">
        <w:rPr>
          <w:rFonts w:asciiTheme="majorHAnsi" w:hAnsiTheme="majorHAnsi" w:cstheme="majorHAnsi"/>
          <w:color w:val="000000" w:themeColor="text1"/>
          <w:lang w:val="es-ES"/>
        </w:rPr>
        <w:t>5. Adicionalmente, hay un quinto tema que es todo el impacto de la estrategia en el</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relacionamiento con el Congreso de la República. Este relacionamiento está</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determinado por las prioridades estratégicas que están definidas en el Plan Estratégico</w:t>
      </w:r>
      <w:r w:rsidR="00516FF5" w:rsidRPr="008757C2">
        <w:rPr>
          <w:rFonts w:asciiTheme="majorHAnsi" w:hAnsiTheme="majorHAnsi" w:cstheme="majorHAnsi"/>
          <w:color w:val="000000" w:themeColor="text1"/>
          <w:lang w:val="es-ES"/>
        </w:rPr>
        <w:t xml:space="preserve"> </w:t>
      </w:r>
      <w:r w:rsidRPr="008757C2">
        <w:rPr>
          <w:rFonts w:asciiTheme="majorHAnsi" w:hAnsiTheme="majorHAnsi" w:cstheme="majorHAnsi"/>
          <w:color w:val="000000" w:themeColor="text1"/>
          <w:lang w:val="es-ES"/>
        </w:rPr>
        <w:t xml:space="preserve">Sectorial que es el </w:t>
      </w:r>
      <w:r w:rsidRPr="006245F7">
        <w:rPr>
          <w:rFonts w:asciiTheme="majorHAnsi" w:hAnsiTheme="majorHAnsi" w:cstheme="majorHAnsi"/>
          <w:color w:val="000000" w:themeColor="text1"/>
          <w:lang w:val="es-ES"/>
        </w:rPr>
        <w:t>foco de acción del MME</w:t>
      </w:r>
      <w:r w:rsidR="00516FF5">
        <w:rPr>
          <w:rFonts w:asciiTheme="majorHAnsi" w:hAnsiTheme="majorHAnsi" w:cstheme="majorHAnsi"/>
          <w:color w:val="000000" w:themeColor="text1"/>
          <w:lang w:val="es-ES"/>
        </w:rPr>
        <w:t>.</w:t>
      </w:r>
      <w:r w:rsidR="00777C3B">
        <w:rPr>
          <w:rFonts w:asciiTheme="majorHAnsi" w:hAnsiTheme="majorHAnsi" w:cstheme="majorHAnsi"/>
          <w:color w:val="000000" w:themeColor="text1"/>
          <w:lang w:val="es-ES"/>
        </w:rPr>
        <w:t xml:space="preserve"> </w:t>
      </w:r>
      <w:r w:rsidR="00777C3B">
        <w:t>Este componente examina, desde la teoría de la separación de poderes y de los pesos y contrapesos, la relación entre el Ministerio y el Congreso, con el propósito de superar la informalidad de los vínculos personales y consolidar una estrategia institucional de análisis legislativo</w:t>
      </w:r>
      <w:r w:rsidR="00777C3B">
        <w:t>.</w:t>
      </w:r>
    </w:p>
    <w:p w14:paraId="081424F0" w14:textId="17AA23A2" w:rsidR="00670862" w:rsidRDefault="00777C3B" w:rsidP="00806832">
      <w:pPr>
        <w:jc w:val="both"/>
        <w:rPr>
          <w:rFonts w:asciiTheme="majorHAnsi" w:hAnsiTheme="majorHAnsi" w:cstheme="majorHAnsi"/>
          <w:color w:val="000000" w:themeColor="text1"/>
          <w:lang w:val="es-ES"/>
        </w:rPr>
      </w:pPr>
      <w:r w:rsidRPr="00777C3B">
        <w:rPr>
          <w:rFonts w:asciiTheme="majorHAnsi" w:hAnsiTheme="majorHAnsi" w:cstheme="majorHAnsi"/>
          <w:color w:val="000000" w:themeColor="text1"/>
          <w:lang w:val="es-ES"/>
        </w:rPr>
        <w:t>Esta descripción evidencia que el proyecto no se limita a una intervención sectorial aislada, sino que articula un ejercicio analítico integral orientado a fortalecer la capacidad institucional del Ministerio de Minas y Energía frente a los retos que impone la Transición Energética Justa. En esa medida, el proyecto responde de manera simultánea a una necesidad técnica —la producción de insumos analíticos rigurosos sobre cada subsector— y a una necesidad política e institucional, relacionada con el fortalecimiento del vínculo entre el Ejecutivo y el Congreso de la República, así como entre el Ministerio y los distintos grupos de valor e interés vinculados a la política minero-energética del país. Los documentos de investigación que se derivan de esta estrategia constituyen su principal insumo analítico y se estructuran, en cada caso, a partir de un marco teórico, conceptual y normativo propio, así como de una metodología de recolección de información —entrevistas, grupos focales y análisis documental— que permite identificar percepciones, prácticas institucionales y necesidades de los actores involucrados en cada subsector.</w:t>
      </w:r>
    </w:p>
    <w:p w14:paraId="266C0EA3" w14:textId="11D1623D" w:rsidR="00670862" w:rsidRDefault="00670862" w:rsidP="00670862">
      <w:pPr>
        <w:pStyle w:val="Ttulo2"/>
        <w:rPr>
          <w:lang w:val="es-ES"/>
        </w:rPr>
      </w:pPr>
      <w:r w:rsidRPr="00670862">
        <w:rPr>
          <w:lang w:val="es-ES"/>
        </w:rPr>
        <w:t>Panorama General de los Ejes Temáticos</w:t>
      </w:r>
    </w:p>
    <w:p w14:paraId="175CD396" w14:textId="77777777" w:rsidR="00670862" w:rsidRDefault="00670862" w:rsidP="00806832">
      <w:pPr>
        <w:jc w:val="both"/>
        <w:rPr>
          <w:rFonts w:asciiTheme="majorHAnsi" w:hAnsiTheme="majorHAnsi" w:cstheme="majorHAnsi"/>
          <w:color w:val="000000" w:themeColor="text1"/>
          <w:lang w:val="es-ES"/>
        </w:rPr>
      </w:pPr>
      <w:r w:rsidRPr="00670862">
        <w:rPr>
          <w:rFonts w:asciiTheme="majorHAnsi" w:hAnsiTheme="majorHAnsi" w:cstheme="majorHAnsi"/>
          <w:color w:val="000000" w:themeColor="text1"/>
          <w:lang w:val="es-ES"/>
        </w:rPr>
        <w:t>Con el fin de facilitar la comprensión de la forma en que estas líneas estratégicas se desarrollan a lo largo del documento, a continuación</w:t>
      </w:r>
      <w:r>
        <w:rPr>
          <w:rFonts w:asciiTheme="majorHAnsi" w:hAnsiTheme="majorHAnsi" w:cstheme="majorHAnsi"/>
          <w:color w:val="000000" w:themeColor="text1"/>
          <w:lang w:val="es-ES"/>
        </w:rPr>
        <w:t>,</w:t>
      </w:r>
      <w:r w:rsidRPr="00670862">
        <w:rPr>
          <w:rFonts w:asciiTheme="majorHAnsi" w:hAnsiTheme="majorHAnsi" w:cstheme="majorHAnsi"/>
          <w:color w:val="000000" w:themeColor="text1"/>
          <w:lang w:val="es-ES"/>
        </w:rPr>
        <w:t xml:space="preserve"> se presenta un panorama general de los cinco ejes temáticos que lo componen.</w:t>
      </w:r>
    </w:p>
    <w:p w14:paraId="384F047D" w14:textId="77777777" w:rsidR="00670862" w:rsidRPr="00670862" w:rsidRDefault="00670862" w:rsidP="00670862">
      <w:pPr>
        <w:pStyle w:val="Prrafodelista"/>
        <w:numPr>
          <w:ilvl w:val="0"/>
          <w:numId w:val="62"/>
        </w:numPr>
        <w:jc w:val="both"/>
        <w:rPr>
          <w:rFonts w:asciiTheme="majorHAnsi" w:hAnsiTheme="majorHAnsi" w:cstheme="majorHAnsi"/>
          <w:color w:val="000000" w:themeColor="text1"/>
          <w:lang w:val="es-ES"/>
        </w:rPr>
      </w:pPr>
      <w:r w:rsidRPr="00670862">
        <w:rPr>
          <w:rFonts w:asciiTheme="majorHAnsi" w:hAnsiTheme="majorHAnsi" w:cstheme="majorHAnsi"/>
          <w:color w:val="000000" w:themeColor="text1"/>
          <w:lang w:val="es-ES"/>
        </w:rPr>
        <w:t>Eje Hidrocarburos: análisis del papel estratégico y fiscal del subsector, tensiones socioambientales de la actividad extractiva y alternativas de diversificación energética.</w:t>
      </w:r>
    </w:p>
    <w:p w14:paraId="4A6C0B59" w14:textId="77777777" w:rsidR="00670862" w:rsidRPr="00670862" w:rsidRDefault="00670862" w:rsidP="00670862">
      <w:pPr>
        <w:jc w:val="both"/>
        <w:rPr>
          <w:rFonts w:asciiTheme="majorHAnsi" w:hAnsiTheme="majorHAnsi" w:cstheme="majorHAnsi"/>
          <w:color w:val="000000" w:themeColor="text1"/>
          <w:lang w:val="es-ES"/>
        </w:rPr>
      </w:pPr>
    </w:p>
    <w:p w14:paraId="3DEFA510" w14:textId="3CFAFFF2" w:rsidR="00670862" w:rsidRPr="00670862" w:rsidRDefault="00670862" w:rsidP="00670862">
      <w:pPr>
        <w:pStyle w:val="Prrafodelista"/>
        <w:numPr>
          <w:ilvl w:val="0"/>
          <w:numId w:val="62"/>
        </w:numPr>
        <w:jc w:val="both"/>
        <w:rPr>
          <w:rFonts w:asciiTheme="majorHAnsi" w:hAnsiTheme="majorHAnsi" w:cstheme="majorHAnsi"/>
          <w:color w:val="000000" w:themeColor="text1"/>
          <w:lang w:val="es-ES"/>
        </w:rPr>
      </w:pPr>
      <w:r w:rsidRPr="00670862">
        <w:rPr>
          <w:rFonts w:asciiTheme="majorHAnsi" w:hAnsiTheme="majorHAnsi" w:cstheme="majorHAnsi"/>
          <w:color w:val="000000" w:themeColor="text1"/>
          <w:lang w:val="es-ES"/>
        </w:rPr>
        <w:t>Eje Minería: configuración territorial, social y de gestión pública del sector minero, en articulación con el Plan Nacional de Desarrollo Minero.</w:t>
      </w:r>
    </w:p>
    <w:p w14:paraId="5BD82A47" w14:textId="0580E5C2" w:rsidR="00670862" w:rsidRPr="00670862" w:rsidRDefault="00670862" w:rsidP="00670862">
      <w:pPr>
        <w:pStyle w:val="Prrafodelista"/>
        <w:numPr>
          <w:ilvl w:val="0"/>
          <w:numId w:val="62"/>
        </w:numPr>
        <w:jc w:val="both"/>
        <w:rPr>
          <w:rFonts w:asciiTheme="majorHAnsi" w:hAnsiTheme="majorHAnsi" w:cstheme="majorHAnsi"/>
          <w:color w:val="000000" w:themeColor="text1"/>
          <w:lang w:val="es-ES"/>
        </w:rPr>
      </w:pPr>
      <w:r w:rsidRPr="00670862">
        <w:rPr>
          <w:rFonts w:asciiTheme="majorHAnsi" w:hAnsiTheme="majorHAnsi" w:cstheme="majorHAnsi"/>
          <w:color w:val="000000" w:themeColor="text1"/>
          <w:lang w:val="es-ES"/>
        </w:rPr>
        <w:t>Eje Energía: subsector eléctrico, resiliencia climática, diversificación de la matriz de generación y comunidades energéticas.</w:t>
      </w:r>
    </w:p>
    <w:p w14:paraId="7C68F3D1" w14:textId="5A86EEB8" w:rsidR="00670862" w:rsidRPr="00670862" w:rsidRDefault="00670862" w:rsidP="00670862">
      <w:pPr>
        <w:pStyle w:val="Prrafodelista"/>
        <w:numPr>
          <w:ilvl w:val="0"/>
          <w:numId w:val="62"/>
        </w:numPr>
        <w:jc w:val="both"/>
        <w:rPr>
          <w:rFonts w:asciiTheme="majorHAnsi" w:hAnsiTheme="majorHAnsi" w:cstheme="majorHAnsi"/>
          <w:color w:val="000000" w:themeColor="text1"/>
          <w:lang w:val="es-ES"/>
        </w:rPr>
      </w:pPr>
      <w:r w:rsidRPr="00670862">
        <w:rPr>
          <w:rFonts w:asciiTheme="majorHAnsi" w:hAnsiTheme="majorHAnsi" w:cstheme="majorHAnsi"/>
          <w:color w:val="000000" w:themeColor="text1"/>
          <w:lang w:val="es-ES"/>
        </w:rPr>
        <w:t>Eje Legislativo: relación Ministerio–Congreso desde las teorías de separación de poderes y pesos y contrapesos.</w:t>
      </w:r>
    </w:p>
    <w:p w14:paraId="36790C2E" w14:textId="653C1FC8" w:rsidR="00670862" w:rsidRPr="00670862" w:rsidRDefault="00670862" w:rsidP="00670862">
      <w:pPr>
        <w:pStyle w:val="Prrafodelista"/>
        <w:numPr>
          <w:ilvl w:val="0"/>
          <w:numId w:val="62"/>
        </w:numPr>
        <w:jc w:val="both"/>
        <w:rPr>
          <w:rFonts w:asciiTheme="majorHAnsi" w:hAnsiTheme="majorHAnsi" w:cstheme="majorHAnsi"/>
          <w:color w:val="000000" w:themeColor="text1"/>
          <w:lang w:val="es-ES"/>
        </w:rPr>
      </w:pPr>
      <w:r w:rsidRPr="00670862">
        <w:rPr>
          <w:rFonts w:asciiTheme="majorHAnsi" w:hAnsiTheme="majorHAnsi" w:cstheme="majorHAnsi"/>
          <w:color w:val="000000" w:themeColor="text1"/>
          <w:lang w:val="es-ES"/>
        </w:rPr>
        <w:t>Eje Transversal: integra los hallazgos de los tres pivotes sectoriales como mecanismo de lectura articulada de sus interdependencias.</w:t>
      </w:r>
    </w:p>
    <w:p w14:paraId="0D049D3D" w14:textId="04EDE9A8" w:rsidR="00670862" w:rsidRDefault="00670862" w:rsidP="00670862">
      <w:pPr>
        <w:jc w:val="both"/>
        <w:rPr>
          <w:rFonts w:asciiTheme="majorHAnsi" w:hAnsiTheme="majorHAnsi" w:cstheme="majorHAnsi"/>
          <w:color w:val="000000" w:themeColor="text1"/>
          <w:lang w:val="es-ES"/>
        </w:rPr>
        <w:sectPr w:rsidR="00670862">
          <w:headerReference w:type="default" r:id="rId11"/>
          <w:footerReference w:type="default" r:id="rId12"/>
          <w:pgSz w:w="12240" w:h="15840"/>
          <w:pgMar w:top="1991" w:right="1418" w:bottom="1588" w:left="1418" w:header="573" w:footer="1531" w:gutter="0"/>
          <w:pgNumType w:start="1"/>
          <w:cols w:space="720"/>
        </w:sectPr>
      </w:pPr>
      <w:r>
        <w:t>En conjunto, estos cinco ejes conforman una lectura complementaria e interdependiente de los retos institucionales, normativos y sectoriales que enfrenta el Ministerio de Minas y Energía para consolidar la Transición Energética Justa en Colombia.</w:t>
      </w:r>
    </w:p>
    <w:p w14:paraId="0510E2AA" w14:textId="77777777" w:rsidR="00F24A71" w:rsidRDefault="00F24A71" w:rsidP="00806832">
      <w:pPr>
        <w:jc w:val="both"/>
        <w:rPr>
          <w:rFonts w:asciiTheme="majorHAnsi" w:hAnsiTheme="majorHAnsi" w:cstheme="majorHAnsi"/>
          <w:color w:val="000000" w:themeColor="text1"/>
          <w:lang w:val="es-ES"/>
        </w:rPr>
      </w:pPr>
    </w:p>
    <w:p w14:paraId="73D43B64" w14:textId="77777777" w:rsidR="006245F7" w:rsidRDefault="006245F7" w:rsidP="00806832">
      <w:pPr>
        <w:jc w:val="both"/>
        <w:rPr>
          <w:rFonts w:asciiTheme="majorHAnsi" w:hAnsiTheme="majorHAnsi" w:cstheme="majorHAnsi"/>
          <w:b/>
          <w:bCs/>
          <w:color w:val="D49E21"/>
          <w:sz w:val="52"/>
          <w:szCs w:val="52"/>
        </w:rPr>
      </w:pPr>
    </w:p>
    <w:p w14:paraId="42666C42" w14:textId="77777777" w:rsidR="00C24D00" w:rsidRDefault="00C24D00" w:rsidP="00806832">
      <w:pPr>
        <w:jc w:val="both"/>
        <w:rPr>
          <w:rFonts w:asciiTheme="majorHAnsi" w:hAnsiTheme="majorHAnsi" w:cstheme="majorHAnsi"/>
          <w:b/>
          <w:bCs/>
          <w:color w:val="D49E21"/>
          <w:sz w:val="52"/>
          <w:szCs w:val="52"/>
        </w:rPr>
      </w:pPr>
    </w:p>
    <w:p w14:paraId="6E53FFBB" w14:textId="77777777" w:rsidR="00C24D00" w:rsidRDefault="00C24D00" w:rsidP="00806832">
      <w:pPr>
        <w:jc w:val="both"/>
        <w:rPr>
          <w:rFonts w:asciiTheme="majorHAnsi" w:hAnsiTheme="majorHAnsi" w:cstheme="majorHAnsi"/>
          <w:b/>
          <w:bCs/>
          <w:color w:val="D49E21"/>
          <w:sz w:val="52"/>
          <w:szCs w:val="52"/>
        </w:rPr>
      </w:pPr>
    </w:p>
    <w:p w14:paraId="2786AE62" w14:textId="77777777" w:rsidR="00806832" w:rsidRDefault="00806832" w:rsidP="00806832">
      <w:pPr>
        <w:jc w:val="both"/>
        <w:rPr>
          <w:rFonts w:asciiTheme="majorHAnsi" w:hAnsiTheme="majorHAnsi" w:cstheme="majorHAnsi"/>
          <w:b/>
          <w:bCs/>
          <w:color w:val="D49E21"/>
          <w:sz w:val="52"/>
          <w:szCs w:val="52"/>
        </w:rPr>
      </w:pPr>
    </w:p>
    <w:p w14:paraId="1D51FBEB" w14:textId="2267842C" w:rsidR="00A86834" w:rsidRDefault="006245F7" w:rsidP="00A86834">
      <w:pPr>
        <w:jc w:val="center"/>
        <w:rPr>
          <w:rFonts w:asciiTheme="majorHAnsi" w:hAnsiTheme="majorHAnsi" w:cstheme="majorHAnsi"/>
          <w:b/>
          <w:bCs/>
          <w:color w:val="D49E21"/>
          <w:sz w:val="96"/>
          <w:szCs w:val="96"/>
        </w:rPr>
        <w:sectPr w:rsidR="00A86834">
          <w:pgSz w:w="12240" w:h="15840"/>
          <w:pgMar w:top="1991" w:right="1418" w:bottom="1588" w:left="1418" w:header="573" w:footer="1531" w:gutter="0"/>
          <w:pgNumType w:start="1"/>
          <w:cols w:space="720"/>
        </w:sectPr>
      </w:pPr>
      <w:bookmarkStart w:id="15" w:name="BM_EjeHidrocarburos"/>
      <w:r w:rsidRPr="00F24A71">
        <w:rPr>
          <w:rFonts w:asciiTheme="majorHAnsi" w:hAnsiTheme="majorHAnsi" w:cstheme="majorHAnsi"/>
          <w:b/>
          <w:bCs/>
          <w:color w:val="D49E21"/>
          <w:sz w:val="96"/>
          <w:szCs w:val="96"/>
        </w:rPr>
        <w:t>EJE HIDROCARBUR</w:t>
      </w:r>
      <w:bookmarkEnd w:id="15"/>
      <w:r w:rsidR="00A86834">
        <w:rPr>
          <w:rFonts w:asciiTheme="majorHAnsi" w:hAnsiTheme="majorHAnsi" w:cstheme="majorHAnsi"/>
          <w:b/>
          <w:bCs/>
          <w:color w:val="D49E21"/>
          <w:sz w:val="96"/>
          <w:szCs w:val="96"/>
        </w:rPr>
        <w:t>OS</w:t>
      </w:r>
    </w:p>
    <w:p w14:paraId="50CF0492" w14:textId="77777777" w:rsidR="00E33FDE" w:rsidRDefault="00C72D7D" w:rsidP="00A86834">
      <w:pPr>
        <w:pStyle w:val="TtuloTDC"/>
      </w:pPr>
      <w:r>
        <w:lastRenderedPageBreak/>
        <w:t>Contenido</w:t>
      </w:r>
    </w:p>
    <w:p w14:paraId="30EF395F" w14:textId="77777777" w:rsidR="00E33FDE" w:rsidRDefault="00C72D7D">
      <w:pPr>
        <w:pStyle w:val="TDC1"/>
        <w:tabs>
          <w:tab w:val="right" w:leader="dot" w:pos="9394"/>
        </w:tabs>
        <w:rPr>
          <w:noProof/>
        </w:rPr>
      </w:pPr>
      <w:hyperlink w:anchor="_Toc234942029" w:history="1">
        <w:r>
          <w:rPr>
            <w:rStyle w:val="Hipervnculo"/>
            <w:noProof/>
          </w:rPr>
          <w:t xml:space="preserve">Capítulo 1. Normas, prácticas y políticas necesarias para implementar las TEJ en el sector de </w:t>
        </w:r>
        <w:r>
          <w:rPr>
            <w:rStyle w:val="Hipervnculo"/>
            <w:noProof/>
          </w:rPr>
          <w:t>Hidrocarburos.</w:t>
        </w:r>
        <w:r>
          <w:rPr>
            <w:noProof/>
          </w:rPr>
          <w:tab/>
        </w:r>
        <w:r>
          <w:rPr>
            <w:noProof/>
          </w:rPr>
          <w:fldChar w:fldCharType="begin" w:fldLock="1"/>
        </w:r>
        <w:r>
          <w:rPr>
            <w:noProof/>
          </w:rPr>
          <w:instrText xml:space="preserve"> PAGEREF _Toc234942029 \h </w:instrText>
        </w:r>
        <w:r>
          <w:rPr>
            <w:noProof/>
          </w:rPr>
        </w:r>
        <w:r>
          <w:rPr>
            <w:noProof/>
          </w:rPr>
          <w:fldChar w:fldCharType="separate"/>
        </w:r>
        <w:r>
          <w:rPr>
            <w:noProof/>
          </w:rPr>
          <w:t>22</w:t>
        </w:r>
        <w:r>
          <w:rPr>
            <w:noProof/>
          </w:rPr>
          <w:fldChar w:fldCharType="end"/>
        </w:r>
      </w:hyperlink>
    </w:p>
    <w:p w14:paraId="6478AD4D" w14:textId="77777777" w:rsidR="00E33FDE" w:rsidRDefault="00C72D7D">
      <w:pPr>
        <w:pStyle w:val="TDC2"/>
        <w:tabs>
          <w:tab w:val="right" w:leader="dot" w:pos="9394"/>
        </w:tabs>
        <w:rPr>
          <w:noProof/>
        </w:rPr>
      </w:pPr>
      <w:hyperlink w:anchor="_Toc234942030" w:history="1">
        <w:r>
          <w:rPr>
            <w:rStyle w:val="Hipervnculo"/>
            <w:noProof/>
          </w:rPr>
          <w:t>México: Ley del Sector de Hidrocarburos como estrategia para mantener la eficiencia en el sector y fomentar la s</w:t>
        </w:r>
        <w:r>
          <w:rPr>
            <w:rStyle w:val="Hipervnculo"/>
            <w:noProof/>
          </w:rPr>
          <w:t>oberanía energética.</w:t>
        </w:r>
        <w:r>
          <w:rPr>
            <w:noProof/>
          </w:rPr>
          <w:tab/>
        </w:r>
        <w:r>
          <w:rPr>
            <w:noProof/>
          </w:rPr>
          <w:fldChar w:fldCharType="begin" w:fldLock="1"/>
        </w:r>
        <w:r>
          <w:rPr>
            <w:noProof/>
          </w:rPr>
          <w:instrText xml:space="preserve"> PAGEREF _Toc234942030 \h </w:instrText>
        </w:r>
        <w:r>
          <w:rPr>
            <w:noProof/>
          </w:rPr>
        </w:r>
        <w:r>
          <w:rPr>
            <w:noProof/>
          </w:rPr>
          <w:fldChar w:fldCharType="separate"/>
        </w:r>
        <w:r>
          <w:rPr>
            <w:noProof/>
          </w:rPr>
          <w:t>22</w:t>
        </w:r>
        <w:r>
          <w:rPr>
            <w:noProof/>
          </w:rPr>
          <w:fldChar w:fldCharType="end"/>
        </w:r>
      </w:hyperlink>
    </w:p>
    <w:p w14:paraId="049D613B" w14:textId="77777777" w:rsidR="00E33FDE" w:rsidRDefault="00C72D7D">
      <w:pPr>
        <w:pStyle w:val="TDC2"/>
        <w:tabs>
          <w:tab w:val="right" w:leader="dot" w:pos="9394"/>
        </w:tabs>
        <w:rPr>
          <w:noProof/>
        </w:rPr>
      </w:pPr>
      <w:hyperlink w:anchor="_Toc234942031" w:history="1">
        <w:r>
          <w:rPr>
            <w:rStyle w:val="Hipervnculo"/>
            <w:noProof/>
          </w:rPr>
          <w:t>China: La nueva estrategia de seguridad energética y la modernización de la gobernanza energética</w:t>
        </w:r>
        <w:r>
          <w:rPr>
            <w:noProof/>
          </w:rPr>
          <w:tab/>
        </w:r>
        <w:r>
          <w:rPr>
            <w:noProof/>
          </w:rPr>
          <w:fldChar w:fldCharType="begin" w:fldLock="1"/>
        </w:r>
        <w:r>
          <w:rPr>
            <w:noProof/>
          </w:rPr>
          <w:instrText xml:space="preserve"> PAGEREF</w:instrText>
        </w:r>
        <w:r>
          <w:rPr>
            <w:noProof/>
          </w:rPr>
          <w:instrText xml:space="preserve"> _Toc234942031 \h </w:instrText>
        </w:r>
        <w:r>
          <w:rPr>
            <w:noProof/>
          </w:rPr>
        </w:r>
        <w:r>
          <w:rPr>
            <w:noProof/>
          </w:rPr>
          <w:fldChar w:fldCharType="separate"/>
        </w:r>
        <w:r>
          <w:rPr>
            <w:noProof/>
          </w:rPr>
          <w:t>26</w:t>
        </w:r>
        <w:r>
          <w:rPr>
            <w:noProof/>
          </w:rPr>
          <w:fldChar w:fldCharType="end"/>
        </w:r>
      </w:hyperlink>
    </w:p>
    <w:p w14:paraId="24A7CA62" w14:textId="77777777" w:rsidR="00E33FDE" w:rsidRDefault="00C72D7D">
      <w:pPr>
        <w:pStyle w:val="TDC1"/>
        <w:tabs>
          <w:tab w:val="right" w:leader="dot" w:pos="9394"/>
        </w:tabs>
        <w:rPr>
          <w:noProof/>
        </w:rPr>
      </w:pPr>
      <w:hyperlink w:anchor="_Toc234942034" w:history="1">
        <w:r>
          <w:rPr>
            <w:rStyle w:val="Hipervnculo"/>
            <w:noProof/>
          </w:rPr>
          <w:t>Capítulo 2. Percepciones, experiencias y necesidades de los distintos actores involucrados en la TEJ</w:t>
        </w:r>
        <w:r>
          <w:rPr>
            <w:noProof/>
          </w:rPr>
          <w:tab/>
        </w:r>
        <w:r>
          <w:rPr>
            <w:noProof/>
          </w:rPr>
          <w:fldChar w:fldCharType="begin" w:fldLock="1"/>
        </w:r>
        <w:r>
          <w:rPr>
            <w:noProof/>
          </w:rPr>
          <w:instrText xml:space="preserve"> PAGEREF _Toc234942034 \h </w:instrText>
        </w:r>
        <w:r>
          <w:rPr>
            <w:noProof/>
          </w:rPr>
        </w:r>
        <w:r>
          <w:rPr>
            <w:noProof/>
          </w:rPr>
          <w:fldChar w:fldCharType="separate"/>
        </w:r>
        <w:r>
          <w:rPr>
            <w:noProof/>
          </w:rPr>
          <w:t>30</w:t>
        </w:r>
        <w:r>
          <w:rPr>
            <w:noProof/>
          </w:rPr>
          <w:fldChar w:fldCharType="end"/>
        </w:r>
      </w:hyperlink>
    </w:p>
    <w:p w14:paraId="037E5F12" w14:textId="77777777" w:rsidR="00A86834" w:rsidRDefault="00A86834" w:rsidP="00A86834">
      <w:pPr>
        <w:rPr>
          <w:rFonts w:asciiTheme="majorHAnsi" w:hAnsiTheme="majorHAnsi" w:cstheme="majorHAnsi"/>
          <w:b/>
          <w:bCs/>
          <w:color w:val="D49E21"/>
          <w:sz w:val="96"/>
          <w:szCs w:val="96"/>
        </w:rPr>
        <w:sectPr w:rsidR="00A86834">
          <w:pgSz w:w="12240" w:h="15840"/>
          <w:pgMar w:top="1991" w:right="1418" w:bottom="1588" w:left="1418" w:header="573" w:footer="1531" w:gutter="0"/>
          <w:pgNumType w:start="1"/>
          <w:cols w:space="720"/>
        </w:sectPr>
      </w:pPr>
    </w:p>
    <w:p w14:paraId="620BC39F" w14:textId="6A09BF79" w:rsidR="008B3252" w:rsidRDefault="008B3252" w:rsidP="008B3252">
      <w:pPr>
        <w:rPr>
          <w:b/>
          <w:bCs/>
          <w:color w:val="D49E21"/>
          <w:sz w:val="24"/>
          <w:szCs w:val="24"/>
        </w:rPr>
      </w:pPr>
      <w:bookmarkStart w:id="16" w:name="_Toc234942011"/>
    </w:p>
    <w:p w14:paraId="785CA318" w14:textId="77777777" w:rsidR="008B3252" w:rsidRPr="00984829" w:rsidRDefault="008B3252" w:rsidP="00984829">
      <w:pPr>
        <w:spacing w:before="240"/>
        <w:jc w:val="center"/>
        <w:outlineLvl w:val="0"/>
        <w:rPr>
          <w:rFonts w:asciiTheme="majorHAnsi" w:hAnsiTheme="majorHAnsi" w:cstheme="majorHAnsi"/>
          <w:b/>
          <w:bCs/>
          <w:color w:val="D49E21"/>
        </w:rPr>
      </w:pPr>
      <w:bookmarkStart w:id="17" w:name="_Toc235107925"/>
      <w:r w:rsidRPr="00984829">
        <w:rPr>
          <w:rFonts w:asciiTheme="majorHAnsi" w:hAnsiTheme="majorHAnsi" w:cstheme="majorHAnsi"/>
          <w:b/>
          <w:bCs/>
          <w:color w:val="D49E21"/>
        </w:rPr>
        <w:t>Introducción</w:t>
      </w:r>
      <w:bookmarkEnd w:id="16"/>
      <w:bookmarkEnd w:id="17"/>
    </w:p>
    <w:p w14:paraId="14E9C4FC"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La Transición Energética Justa es un proceso clave para la lucha contra el cambio climático, que implica la transformación de los sistemas energéticos actuales en un modelo bajo en emisiones de gases de efecto invernadero (GEI), más justo y sostenible. </w:t>
      </w:r>
    </w:p>
    <w:p w14:paraId="6736B55C"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Existe un consenso científico, conformado por más de 99 % de las publicaciones revisadas por pares y avalado por el Panel Intergubernamental de Cambio Climático en el cual están representados los 195 países (IPCC, por su sigla en inglés) sobre el hecho de que la crisis climática es causada por el modelo de desarrollo imperante, basado en la quema de combustibles fósiles (IPCC, 2021; </w:t>
      </w:r>
      <w:proofErr w:type="spellStart"/>
      <w:r w:rsidRPr="00984829">
        <w:rPr>
          <w:rFonts w:asciiTheme="majorHAnsi" w:hAnsiTheme="majorHAnsi" w:cstheme="majorHAnsi"/>
        </w:rPr>
        <w:t>Lynas</w:t>
      </w:r>
      <w:proofErr w:type="spellEnd"/>
      <w:r w:rsidRPr="00984829">
        <w:rPr>
          <w:rFonts w:asciiTheme="majorHAnsi" w:hAnsiTheme="majorHAnsi" w:cstheme="majorHAnsi"/>
        </w:rPr>
        <w:t xml:space="preserve"> et al., 2021). Lo anterior ha propiciado una respuesta a nivel global consignada en el Acuerdo de París de 2015, instrumento por medio del cual 195 naciones adoptan un plan para reducir las emisiones de GEI y limitar el calentamiento global en dos grados centígrados o menos con respecto a la época preindustrial.</w:t>
      </w:r>
    </w:p>
    <w:p w14:paraId="38D88501"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La mitad de las emisiones de GEI a nivel mundial proviene de la utilización de fuentes de energía fósiles (IPCC, 2021). Por tanto, en la política energética global se ha vuelto fundamental la descarbonización. El IPCC ha alertado en reiteradas ocasiones que, si se mantiene indefinidamente la extracción, la transformación y el uso de los combustibles fósiles, no será posible cumplir los objetivos consignados en el Acuerdo de París y sus actualizaciones en el Acuerdo de Glasgow (IPCC, 2018, 2022b, 2023).</w:t>
      </w:r>
    </w:p>
    <w:p w14:paraId="6573577F"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Sin embargo, el modelo de desarrollo económico de Colombia ha dependido en las últimas décadas de la exportación de hidrocarburos y carbón —más de la mitad de las exportaciones, así como parte sustancial de las inversiones extranjeras directas, los ingresos fiscales, entre otros, provienen de las ventas externas de estos energéticos—. Por esta dependencia, una transición global más allá de los combustibles fósiles expone al país a un riesgo económico considerable. Cuando la demanda global de estos energéticos disminuya en favor de fuentes de energía menos contaminantes, será muy difícil continuar el modelo de desarrollo económico actual. </w:t>
      </w:r>
    </w:p>
    <w:p w14:paraId="14F07EB4"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De hecho, ante los desarrollos en la lucha global contra la crisis climática están aumentando las incertidumbres respecto al futuro de las exportaciones, tanto de carbón (Yanguas Parra et al., 2023) como </w:t>
      </w:r>
      <w:r w:rsidRPr="00984829">
        <w:rPr>
          <w:rFonts w:asciiTheme="majorHAnsi" w:hAnsiTheme="majorHAnsi" w:cstheme="majorHAnsi"/>
        </w:rPr>
        <w:lastRenderedPageBreak/>
        <w:t>de petróleo (</w:t>
      </w:r>
      <w:proofErr w:type="spellStart"/>
      <w:r w:rsidRPr="00984829">
        <w:rPr>
          <w:rFonts w:asciiTheme="majorHAnsi" w:hAnsiTheme="majorHAnsi" w:cstheme="majorHAnsi"/>
        </w:rPr>
        <w:t>Huxham</w:t>
      </w:r>
      <w:proofErr w:type="spellEnd"/>
      <w:r w:rsidRPr="00984829">
        <w:rPr>
          <w:rFonts w:asciiTheme="majorHAnsi" w:hAnsiTheme="majorHAnsi" w:cstheme="majorHAnsi"/>
        </w:rPr>
        <w:t xml:space="preserve"> &amp; Anwar, 2023) en los mercados tradicionales a los que ha exportado Colombia. Una Transición Energética Justa en Colombia supone entonces una transformación hacia una economía diversificada.</w:t>
      </w:r>
    </w:p>
    <w:p w14:paraId="69397184"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Teniendo en cuenta lo anterior, y de acuerdo en lo enmarcado en el proyecto de inversión “Fortalecimiento del análisis estratégico sectorial y legislativo del ministerio de minas y energía en el marco de la transición energética justa” este documento corresponde al análisis del pivote de Hidrocarburos, el cual busca promover la eficiencia en la exploración y explotación de hidrocarburos mientras se avanza en el fomento de nuevos energéticos para garantizar la soberanía energética del país. Se mencionan acciones para la gestión eficiente de los recursos </w:t>
      </w:r>
      <w:proofErr w:type="spellStart"/>
      <w:r w:rsidRPr="00984829">
        <w:rPr>
          <w:rFonts w:asciiTheme="majorHAnsi" w:hAnsiTheme="majorHAnsi" w:cstheme="majorHAnsi"/>
        </w:rPr>
        <w:t>hidrocarburíferos</w:t>
      </w:r>
      <w:proofErr w:type="spellEnd"/>
      <w:r w:rsidRPr="00984829">
        <w:rPr>
          <w:rFonts w:asciiTheme="majorHAnsi" w:hAnsiTheme="majorHAnsi" w:cstheme="majorHAnsi"/>
        </w:rPr>
        <w:t>, la diversificación energética y la sostenibilidad ambiental, incluyendo la exploración de nuevas fuentes como la geotermia, el hidrógeno, la biomasa y la energía eólica costa afuera.</w:t>
      </w:r>
    </w:p>
    <w:p w14:paraId="5BC4C2A6"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El documento de investigación se estructura así: marco teórico, marco conceptual y marco normativo, posteriormente, los objetivos trazados junto con la problemática a analizar, hipótesis, justificación y metodología a desarrollar, y finalmente los tres capítulos corresponden a los hallazgos de acuerdo a los objetivos trazados. </w:t>
      </w:r>
    </w:p>
    <w:p w14:paraId="266C3126" w14:textId="77777777" w:rsidR="008B3252" w:rsidRPr="00984829" w:rsidRDefault="008B3252" w:rsidP="00984829">
      <w:pPr>
        <w:spacing w:before="240"/>
        <w:jc w:val="both"/>
        <w:outlineLvl w:val="0"/>
        <w:rPr>
          <w:rFonts w:asciiTheme="majorHAnsi" w:hAnsiTheme="majorHAnsi" w:cstheme="majorHAnsi"/>
          <w:b/>
          <w:bCs/>
          <w:color w:val="D49E21"/>
        </w:rPr>
      </w:pPr>
      <w:bookmarkStart w:id="18" w:name="_Toc234942012"/>
      <w:bookmarkStart w:id="19" w:name="_Toc235107926"/>
      <w:r w:rsidRPr="00984829">
        <w:rPr>
          <w:rFonts w:asciiTheme="majorHAnsi" w:hAnsiTheme="majorHAnsi" w:cstheme="majorHAnsi"/>
          <w:b/>
          <w:bCs/>
          <w:color w:val="D49E21"/>
        </w:rPr>
        <w:t>Marco teórico</w:t>
      </w:r>
      <w:bookmarkEnd w:id="18"/>
      <w:bookmarkEnd w:id="19"/>
    </w:p>
    <w:p w14:paraId="1FA6464A"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El consumo masivo de derivados de los hidrocarburos se ha incrementado de manera constante desde la segunda mitad del siglo XIX (IEA, 2023e), inicialmente con su uso en lámparas de queroseno, y posteriormente con la utilización de gasolina en motores de combustión, debido a la rápida masificación del uso del automóvil, especialmente en las tres primeras décadas del siglo XX. </w:t>
      </w:r>
    </w:p>
    <w:p w14:paraId="48E3434C"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Hoy su uso no se limita a la producción de gasolina y diésel para alimentar sistemas de transporte, también se extiende a la producción de electricidad, calor, lubricantes, llantas, farmacéuticos, colorantes, y detergentes, entre otras muchas aplicaciones. Debido a su gran impacto en el desarrollo global, se destacan de manera particular en las industrias en donde derivados de los hidrocarburos resultaron en cambios paradigmáticos en los modelos de producción y tecnología, estas son: la agricultura, que con el </w:t>
      </w:r>
      <w:r w:rsidRPr="00984829">
        <w:rPr>
          <w:rFonts w:asciiTheme="majorHAnsi" w:hAnsiTheme="majorHAnsi" w:cstheme="majorHAnsi"/>
        </w:rPr>
        <w:lastRenderedPageBreak/>
        <w:t>uso sistemático de fertilizantes sintéticos basados en amoniaco logró aumentar de forma dramática el rendimiento de los cultivos, y los plásticos en la industria médica y de manufacturas.</w:t>
      </w:r>
    </w:p>
    <w:p w14:paraId="5199A036"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Ahora bien, distintos estudios han vinculado el creciente número de disputas socioambientales en Colombia con actividades extractivas como la minería o la exploración y producción de hidrocarburos (Duarte et al., 2021; PARES, 2018; Pérez-Rincón, 2014; Velásquez, 2021b). Esta conflictividad se ha atribuido, en parte, a las relaciones entre los actores en las áreas donde se desarrollan las actividades extractivas, que tienden a ser verticales (Velásquez, 2021b), limitan la consecución de acuerdos y, en algunos casos, han profundizado las desigualdades sociales y económicas (Duarte et al., 2021).</w:t>
      </w:r>
    </w:p>
    <w:p w14:paraId="0DA41D26"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Las dificultades, hoy en día, no solo se extienden a los proyectos mineros y de hidrocarburos, sino también a los de fuentes no convencionales de energía renovable (FNCER), haciendo que muchos de estos se encuentren retrasados. Las formas de ingreso, operación e interacción de estas iniciativas han provocado resistencias entre las poblaciones locales (Barney, 2023; Ulloa, 2021; Vega-Araújo &amp; </w:t>
      </w:r>
      <w:proofErr w:type="spellStart"/>
      <w:r w:rsidRPr="00984829">
        <w:rPr>
          <w:rFonts w:asciiTheme="majorHAnsi" w:hAnsiTheme="majorHAnsi" w:cstheme="majorHAnsi"/>
        </w:rPr>
        <w:t>Heffron</w:t>
      </w:r>
      <w:proofErr w:type="spellEnd"/>
      <w:r w:rsidRPr="00984829">
        <w:rPr>
          <w:rFonts w:asciiTheme="majorHAnsi" w:hAnsiTheme="majorHAnsi" w:cstheme="majorHAnsi"/>
        </w:rPr>
        <w:t>, 2022).</w:t>
      </w:r>
    </w:p>
    <w:p w14:paraId="6BFEF300"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Colombia, dada su diversidad geográfica, se ha posicionado como un territorio con ventajas comparativas para la generación de energías alternativas. Es ya reconocido el inmenso potencial de recursos que se encuentran en la región norte del Caribe, donde los regímenes de viento, incluido el costa-afuera, y la radiación solar se destacan internacionalmente entre los mejores de su clase. La vocación agrícola del país debe ser también aprovechada para generación de bioenergía pues la diversidad de pisos térmicos, su régimen hídrico y su posición geográfica permiten la producción de biomasa durante todo el año. </w:t>
      </w:r>
    </w:p>
    <w:p w14:paraId="2EBD29AF"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El potencial de generación de energía geotérmica también resulta aprovechable a lo largo de los volcanes de la cordillera Central, así como en las cuencas sedimentarias, donde se podría aprovechar la infraestructura existente de la industria de hidrocarburos. La generación de hidrógeno de bajas emisiones no solo puede ser una fuente alternativa de energía, sino también desembocar en diferentes usos agrícolas e industriales que agregarían valor y eficiencia a la agricultura nacional.</w:t>
      </w:r>
    </w:p>
    <w:p w14:paraId="29F4DA98"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El sector de hidrocarburos juega un papel central a nivel global, tanto en términos energéticos como geopolíticos. En Colombia es el energético más importante, así como el mayor renglón de exportaciones. De continuar las tendencias globales en materia de electromovilidad y, en especial, de haber acción más </w:t>
      </w:r>
      <w:r w:rsidRPr="00984829">
        <w:rPr>
          <w:rFonts w:asciiTheme="majorHAnsi" w:hAnsiTheme="majorHAnsi" w:cstheme="majorHAnsi"/>
        </w:rPr>
        <w:lastRenderedPageBreak/>
        <w:t>ambiciosa en materia climática, aumentará la incertidumbre respecto a precios y demanda mundial de crudo. Dado que Colombia es comparativamente un productor de crudo de alto costo, es importante que siga de cerca estos desarrollos dado que caídas en los precios pueden afectar la factibilidad económica de explotación de petróleo en el país.</w:t>
      </w:r>
    </w:p>
    <w:p w14:paraId="3172BFA7" w14:textId="77777777" w:rsidR="008B3252" w:rsidRPr="00984829" w:rsidRDefault="008B3252" w:rsidP="00984829">
      <w:pPr>
        <w:spacing w:before="240"/>
        <w:jc w:val="both"/>
        <w:outlineLvl w:val="0"/>
        <w:rPr>
          <w:rFonts w:asciiTheme="majorHAnsi" w:hAnsiTheme="majorHAnsi" w:cstheme="majorHAnsi"/>
          <w:color w:val="D49E21"/>
        </w:rPr>
      </w:pPr>
      <w:bookmarkStart w:id="20" w:name="_Toc234942013"/>
      <w:bookmarkStart w:id="21" w:name="_Toc235107927"/>
      <w:r w:rsidRPr="00984829">
        <w:rPr>
          <w:rFonts w:asciiTheme="majorHAnsi" w:hAnsiTheme="majorHAnsi" w:cstheme="majorHAnsi"/>
          <w:b/>
          <w:bCs/>
          <w:color w:val="D49E21"/>
        </w:rPr>
        <w:t>Marco conceptual</w:t>
      </w:r>
      <w:bookmarkEnd w:id="20"/>
      <w:bookmarkEnd w:id="21"/>
    </w:p>
    <w:p w14:paraId="1A2F399E" w14:textId="77777777" w:rsidR="008B3252" w:rsidRPr="00984829" w:rsidRDefault="008B3252" w:rsidP="00721806">
      <w:pPr>
        <w:pStyle w:val="Prrafodelista"/>
        <w:numPr>
          <w:ilvl w:val="0"/>
          <w:numId w:val="48"/>
        </w:numPr>
        <w:spacing w:before="240"/>
        <w:jc w:val="both"/>
        <w:outlineLvl w:val="1"/>
        <w:rPr>
          <w:rFonts w:asciiTheme="majorHAnsi" w:hAnsiTheme="majorHAnsi" w:cstheme="majorHAnsi"/>
          <w:b/>
          <w:bCs/>
          <w:color w:val="D49E21"/>
        </w:rPr>
      </w:pPr>
      <w:bookmarkStart w:id="22" w:name="_Toc234942014"/>
      <w:bookmarkStart w:id="23" w:name="_Toc235107928"/>
      <w:r w:rsidRPr="00984829">
        <w:rPr>
          <w:rFonts w:asciiTheme="majorHAnsi" w:hAnsiTheme="majorHAnsi" w:cstheme="majorHAnsi"/>
          <w:b/>
          <w:bCs/>
          <w:color w:val="D49E21"/>
        </w:rPr>
        <w:t>Imaginarios sobre la transición energética en el sector de hidrocarburos.</w:t>
      </w:r>
      <w:bookmarkEnd w:id="22"/>
      <w:bookmarkEnd w:id="23"/>
      <w:r w:rsidRPr="00984829">
        <w:rPr>
          <w:rFonts w:asciiTheme="majorHAnsi" w:hAnsiTheme="majorHAnsi" w:cstheme="majorHAnsi"/>
          <w:b/>
          <w:bCs/>
          <w:color w:val="D49E21"/>
        </w:rPr>
        <w:t xml:space="preserve"> </w:t>
      </w:r>
    </w:p>
    <w:p w14:paraId="20C234F9" w14:textId="77777777" w:rsidR="008B3252" w:rsidRPr="00984829" w:rsidRDefault="008B3252" w:rsidP="00721806">
      <w:pPr>
        <w:pStyle w:val="Prrafodelista"/>
        <w:numPr>
          <w:ilvl w:val="1"/>
          <w:numId w:val="39"/>
        </w:numPr>
        <w:spacing w:before="240"/>
        <w:jc w:val="both"/>
        <w:rPr>
          <w:rFonts w:asciiTheme="majorHAnsi" w:hAnsiTheme="majorHAnsi" w:cstheme="majorHAnsi"/>
          <w:b/>
          <w:bCs/>
          <w:color w:val="D49E21"/>
        </w:rPr>
      </w:pPr>
      <w:r w:rsidRPr="00984829">
        <w:rPr>
          <w:rFonts w:asciiTheme="majorHAnsi" w:hAnsiTheme="majorHAnsi" w:cstheme="majorHAnsi"/>
          <w:b/>
          <w:bCs/>
          <w:color w:val="D49E21"/>
        </w:rPr>
        <w:t>Dependencia económica insuperable</w:t>
      </w:r>
    </w:p>
    <w:p w14:paraId="5576EE60"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En Colombia la importancia económica de los recursos provenientes de hidrocarburos y carbón, así como su aprovechamiento, manifiesta una forma de dependencia (Bonilla González, 2011; León Rodríguez, 2012; Misas Arango, 2019; </w:t>
      </w:r>
      <w:proofErr w:type="spellStart"/>
      <w:r w:rsidRPr="00984829">
        <w:rPr>
          <w:rFonts w:asciiTheme="majorHAnsi" w:hAnsiTheme="majorHAnsi" w:cstheme="majorHAnsi"/>
        </w:rPr>
        <w:t>Zerda</w:t>
      </w:r>
      <w:proofErr w:type="spellEnd"/>
      <w:r w:rsidRPr="00984829">
        <w:rPr>
          <w:rFonts w:asciiTheme="majorHAnsi" w:hAnsiTheme="majorHAnsi" w:cstheme="majorHAnsi"/>
        </w:rPr>
        <w:t xml:space="preserve"> Sarmiento, 2015). Dicha dependencia se identifica como el resultado de un proceso de transformación económica y política que ha ocurrido en las últimas décadas y que ha sido posible por las características geológicas y los yacimientos disponibles, así como por las condiciones del mercado de estos bienes a nivel internacional (</w:t>
      </w:r>
      <w:proofErr w:type="spellStart"/>
      <w:r w:rsidRPr="00984829">
        <w:rPr>
          <w:rFonts w:asciiTheme="majorHAnsi" w:hAnsiTheme="majorHAnsi" w:cstheme="majorHAnsi"/>
        </w:rPr>
        <w:t>Muradian</w:t>
      </w:r>
      <w:proofErr w:type="spellEnd"/>
      <w:r w:rsidRPr="00984829">
        <w:rPr>
          <w:rFonts w:asciiTheme="majorHAnsi" w:hAnsiTheme="majorHAnsi" w:cstheme="majorHAnsi"/>
        </w:rPr>
        <w:t xml:space="preserve"> et al., 2012; </w:t>
      </w:r>
      <w:proofErr w:type="spellStart"/>
      <w:r w:rsidRPr="00984829">
        <w:rPr>
          <w:rFonts w:asciiTheme="majorHAnsi" w:hAnsiTheme="majorHAnsi" w:cstheme="majorHAnsi"/>
        </w:rPr>
        <w:t>Svampa</w:t>
      </w:r>
      <w:proofErr w:type="spellEnd"/>
      <w:r w:rsidRPr="00984829">
        <w:rPr>
          <w:rFonts w:asciiTheme="majorHAnsi" w:hAnsiTheme="majorHAnsi" w:cstheme="majorHAnsi"/>
        </w:rPr>
        <w:t xml:space="preserve">, 2011), pero sobre todo por las políticas locales que favorecieron a las materias primas de origen fósil como un epicentro de la actividad económica del país (Kalmanovitz, 2015). </w:t>
      </w:r>
    </w:p>
    <w:p w14:paraId="4EA3C260"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A partir de la década de los ochenta, y como un proceso de transición del café hacia el petróleo, la actividad de exploración y producción (E&amp;P) de hidrocarburos y carbón se convirtió paulatinamente en el motor económico colombiano, siendo el petróleo el principal producto de una canasta compuesta además por gas y carbón térmico. </w:t>
      </w:r>
    </w:p>
    <w:p w14:paraId="7B64AD1F"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Esta estructura es la más reciente versión de un modelo de desenvolvimiento económico que internacionalmente se conoce como “dependiente de las materias primas” (UNCTAD, 2021d). A esto ha de agregarse que comúnmente la economía productora no controla los precios internacionales de dichas mercancías (</w:t>
      </w:r>
      <w:proofErr w:type="spellStart"/>
      <w:r w:rsidRPr="00984829">
        <w:rPr>
          <w:rFonts w:asciiTheme="majorHAnsi" w:hAnsiTheme="majorHAnsi" w:cstheme="majorHAnsi"/>
        </w:rPr>
        <w:t>Bértola</w:t>
      </w:r>
      <w:proofErr w:type="spellEnd"/>
      <w:r w:rsidRPr="00984829">
        <w:rPr>
          <w:rFonts w:asciiTheme="majorHAnsi" w:hAnsiTheme="majorHAnsi" w:cstheme="majorHAnsi"/>
        </w:rPr>
        <w:t xml:space="preserve"> &amp; Ocampo, 2013; </w:t>
      </w:r>
      <w:proofErr w:type="spellStart"/>
      <w:r w:rsidRPr="00984829">
        <w:rPr>
          <w:rFonts w:asciiTheme="majorHAnsi" w:hAnsiTheme="majorHAnsi" w:cstheme="majorHAnsi"/>
        </w:rPr>
        <w:t>Bulmer</w:t>
      </w:r>
      <w:proofErr w:type="spellEnd"/>
      <w:r w:rsidRPr="00984829">
        <w:rPr>
          <w:rFonts w:asciiTheme="majorHAnsi" w:hAnsiTheme="majorHAnsi" w:cstheme="majorHAnsi"/>
        </w:rPr>
        <w:t xml:space="preserve">-Thomas, 2014). Por tanto, la dependencia de esta producción se convierte tácitamente en una dependencia del comportamiento internacional de estos mercados y de la disponibilidad de capitales dispuestos a financiar dichas actividades (UNCTAD, 2019 Farias et al., 2022). </w:t>
      </w:r>
    </w:p>
    <w:p w14:paraId="60526CB4"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lastRenderedPageBreak/>
        <w:t>A la dependencia de estos productos debe agregarse que la forma como se ha llevado a cabo la producción de hidrocarburos y la explotación de carbón ha sido mediante un modelo extractivista (</w:t>
      </w:r>
      <w:proofErr w:type="spellStart"/>
      <w:r w:rsidRPr="00984829">
        <w:rPr>
          <w:rFonts w:asciiTheme="majorHAnsi" w:hAnsiTheme="majorHAnsi" w:cstheme="majorHAnsi"/>
        </w:rPr>
        <w:t>Svampa</w:t>
      </w:r>
      <w:proofErr w:type="spellEnd"/>
      <w:r w:rsidRPr="00984829">
        <w:rPr>
          <w:rFonts w:asciiTheme="majorHAnsi" w:hAnsiTheme="majorHAnsi" w:cstheme="majorHAnsi"/>
        </w:rPr>
        <w:t>, 2015), que consiste en que los productos en cuestión son obtenidos de recursos naturales por medio de procesos que incorporan muy bajo valor agregado y tienen como destino principal la exportación y traen altos impactos territoriales, sociales y ambientales en las geografías de producción (Gudynas, 2021)</w:t>
      </w:r>
    </w:p>
    <w:p w14:paraId="55212BB4"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Una correlación indeseable de haber desarrollado una economía nacional basada en el sector primario ha sido la desaceleración de la industrialización y su participación en las cuentas nacionales, progresivamente reducida desde la década de los noventa (Misas Arango, 2019; </w:t>
      </w:r>
      <w:proofErr w:type="spellStart"/>
      <w:r w:rsidRPr="00984829">
        <w:rPr>
          <w:rFonts w:asciiTheme="majorHAnsi" w:hAnsiTheme="majorHAnsi" w:cstheme="majorHAnsi"/>
        </w:rPr>
        <w:t>Zerda</w:t>
      </w:r>
      <w:proofErr w:type="spellEnd"/>
      <w:r w:rsidRPr="00984829">
        <w:rPr>
          <w:rFonts w:asciiTheme="majorHAnsi" w:hAnsiTheme="majorHAnsi" w:cstheme="majorHAnsi"/>
        </w:rPr>
        <w:t xml:space="preserve"> Sarmiento, 2015). La dependencia económica de Colombia frente a los hidrocarburos y el carbón es un proceso de varias décadas, en el que las actividades asociadas a este sector se han convertido en las principales dinamizadoras del crecimiento económico, generadoras de importantes ingresos fiscales, principal rubro dentro de la canasta exportadora y foco de atracción para la entrada de importantes recursos de capital extranjero (</w:t>
      </w:r>
      <w:proofErr w:type="spellStart"/>
      <w:r w:rsidRPr="00984829">
        <w:rPr>
          <w:rFonts w:asciiTheme="majorHAnsi" w:hAnsiTheme="majorHAnsi" w:cstheme="majorHAnsi"/>
        </w:rPr>
        <w:t>Bértola</w:t>
      </w:r>
      <w:proofErr w:type="spellEnd"/>
      <w:r w:rsidRPr="00984829">
        <w:rPr>
          <w:rFonts w:asciiTheme="majorHAnsi" w:hAnsiTheme="majorHAnsi" w:cstheme="majorHAnsi"/>
        </w:rPr>
        <w:t xml:space="preserve"> &amp; Ocampo, 2010; </w:t>
      </w:r>
      <w:proofErr w:type="spellStart"/>
      <w:r w:rsidRPr="00984829">
        <w:rPr>
          <w:rFonts w:asciiTheme="majorHAnsi" w:hAnsiTheme="majorHAnsi" w:cstheme="majorHAnsi"/>
        </w:rPr>
        <w:t>Zerda</w:t>
      </w:r>
      <w:proofErr w:type="spellEnd"/>
      <w:r w:rsidRPr="00984829">
        <w:rPr>
          <w:rFonts w:asciiTheme="majorHAnsi" w:hAnsiTheme="majorHAnsi" w:cstheme="majorHAnsi"/>
        </w:rPr>
        <w:t xml:space="preserve"> Sarmiento, 2015). </w:t>
      </w:r>
    </w:p>
    <w:p w14:paraId="74966AF5"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Sin embargo, la consolidación de este sector intensivo en capital y con baja generación de valor agregado ha venido acompañada por un debilitamiento en otros sectores de la economía, como la industria y la agricultura, que albergan mayor potencial de agregar valor (Gudynas, 2015b; Rudas &amp; Espitia, 2013).</w:t>
      </w:r>
    </w:p>
    <w:p w14:paraId="49923FA6" w14:textId="77777777" w:rsidR="008B3252" w:rsidRPr="00984829" w:rsidRDefault="008B3252" w:rsidP="00721806">
      <w:pPr>
        <w:pStyle w:val="Prrafodelista"/>
        <w:numPr>
          <w:ilvl w:val="0"/>
          <w:numId w:val="48"/>
        </w:numPr>
        <w:spacing w:before="240"/>
        <w:jc w:val="both"/>
        <w:outlineLvl w:val="1"/>
        <w:rPr>
          <w:rFonts w:asciiTheme="majorHAnsi" w:hAnsiTheme="majorHAnsi" w:cstheme="majorHAnsi"/>
          <w:b/>
          <w:bCs/>
          <w:color w:val="D49E21"/>
        </w:rPr>
      </w:pPr>
      <w:bookmarkStart w:id="24" w:name="_Toc234942015"/>
      <w:bookmarkStart w:id="25" w:name="_Toc235107929"/>
      <w:r w:rsidRPr="00984829">
        <w:rPr>
          <w:rFonts w:asciiTheme="majorHAnsi" w:hAnsiTheme="majorHAnsi" w:cstheme="majorHAnsi"/>
          <w:b/>
          <w:bCs/>
          <w:color w:val="D49E21"/>
        </w:rPr>
        <w:t>Percepción de la institucionalidad y sus transformaciones para la TEJ en el sector de Hidrocarburos</w:t>
      </w:r>
      <w:bookmarkEnd w:id="24"/>
      <w:bookmarkEnd w:id="25"/>
    </w:p>
    <w:p w14:paraId="0AA0ACE2"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El sector de hidrocarburos juega un papel central tanto en términos económicos, como geopolíticos, a nivel global. En Colombia, representa el energético más importante, así como el mayor renglón de exportaciones. De continuar las tendencias globales en materia de electromovilidad y en especial, acciones más ambiciosas en materia climática, aumentará la incertidumbre respecto a precios y demanda de crudo; comparativamente, el país es un productor de crudo de alto costo, es importante que se haga monitoreo y gestión de dichos riesgos de manera constante. </w:t>
      </w:r>
    </w:p>
    <w:p w14:paraId="51150AF4"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Bajo estos escenarios de incertidumbre, el país debe prepararse para posibles variaciones en términos de demanda y precios internacionales de los hidrocarburos. Adicionalmente, La transición en el sector </w:t>
      </w:r>
      <w:r w:rsidRPr="00984829">
        <w:rPr>
          <w:rFonts w:asciiTheme="majorHAnsi" w:hAnsiTheme="majorHAnsi" w:cstheme="majorHAnsi"/>
        </w:rPr>
        <w:lastRenderedPageBreak/>
        <w:t>hidrocarburos implica la adecuación de la industria para aprovechar nuevos energéticos, así como nuevos modelos de negocio, que atraigan inversiones y que permitan que el conocimiento, la experiencia, la infraestructura, los recursos y la capacidad existente pueda apalancar la construcción de una nueva industria verde y sostenible.</w:t>
      </w:r>
    </w:p>
    <w:p w14:paraId="2F521CF7"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Considerando que la TEJ es un proceso gradual, planeado y pertinente, el país debe asegurar que la actividad exploratoria, las reservas de hidrocarburos y los volúmenes de producción se mantengan en las proporciones necesarias para garantizar la seguridad económica y energética del país. </w:t>
      </w:r>
    </w:p>
    <w:p w14:paraId="7C2DFFE7"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Paro lograr lo anterior, es vital una estructura una institucionalidad que permita identificar las causas estructurales del problema, así como, entablar diálogos adecuados con los diferentes actores del sector de hidrocarburos, que permita crear propuestas que permitan caminar en la construcción de un Transición Energética Justa que les involucre. Teniendo en cuenta que, como advierte el diagnóstico colombiano sobre la TEJ, los modelos centralizados y verticales pueden generar conflictos socioambientales si no se acompañan de mecanismos robustos de participación ciudadana y justicia procedimental (Diagnóstico base para la TEJ, 2023). </w:t>
      </w:r>
    </w:p>
    <w:p w14:paraId="0BBF2866" w14:textId="77777777" w:rsidR="008B3252" w:rsidRPr="00984829" w:rsidRDefault="008B3252" w:rsidP="00721806">
      <w:pPr>
        <w:pStyle w:val="Prrafodelista"/>
        <w:numPr>
          <w:ilvl w:val="0"/>
          <w:numId w:val="48"/>
        </w:numPr>
        <w:spacing w:before="240"/>
        <w:jc w:val="both"/>
        <w:outlineLvl w:val="1"/>
        <w:rPr>
          <w:rFonts w:asciiTheme="majorHAnsi" w:hAnsiTheme="majorHAnsi" w:cstheme="majorHAnsi"/>
          <w:b/>
          <w:bCs/>
          <w:color w:val="D49E21"/>
        </w:rPr>
      </w:pPr>
      <w:bookmarkStart w:id="26" w:name="_Toc234942016"/>
      <w:bookmarkStart w:id="27" w:name="_Toc235107930"/>
      <w:r w:rsidRPr="00984829">
        <w:rPr>
          <w:rFonts w:asciiTheme="majorHAnsi" w:hAnsiTheme="majorHAnsi" w:cstheme="majorHAnsi"/>
          <w:b/>
          <w:bCs/>
          <w:color w:val="D49E21"/>
        </w:rPr>
        <w:t>Requerimientos normativos para la TEJ y sus especificidades en el sector de hidrocarburos.</w:t>
      </w:r>
      <w:bookmarkEnd w:id="26"/>
      <w:bookmarkEnd w:id="27"/>
      <w:r w:rsidRPr="00984829">
        <w:rPr>
          <w:rFonts w:asciiTheme="majorHAnsi" w:hAnsiTheme="majorHAnsi" w:cstheme="majorHAnsi"/>
          <w:b/>
          <w:bCs/>
          <w:color w:val="D49E21"/>
        </w:rPr>
        <w:t xml:space="preserve"> </w:t>
      </w:r>
    </w:p>
    <w:p w14:paraId="3F7D7EB0"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En el sector de hidrocarburos existen principalmente dos instrumentos de gestión social y manejo de la conflictividad: los Programas en Beneficio de las Comunidades (PBC) y la Estrategia Territorial de Hidrocarburos (ETH). Los PBC está establecidos como una obligación contractual tal que al menos el 1 % de los planes de inversión de los contratos E&amp;P suscritos por la ANH con las compañías de petróleo y gas sean dedicados a proyectos sociales concertados y viabilizados con las comunidades de las áreas de influencia de los proyectos. Al estar asociados a la inversión del proyecto y que, esta es mayor en sus primeras fases, la inversión de los PBC es variable en el tiempo y tiene una tendencia a la reducción a medida que avanza la ejecución. </w:t>
      </w:r>
    </w:p>
    <w:p w14:paraId="4C71F12A"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Los PBC han evolucionado con el tiempo. Fueron adoptados en 2004 con la primera minuta adoptada por la ANH y se han transformado incluyendo mecanismos para que las inversiones sean más asertivas. Así, con los años se han vinculado a aportes para el cumplimiento de las metas de los planes nacionales de </w:t>
      </w:r>
      <w:r w:rsidRPr="00984829">
        <w:rPr>
          <w:rFonts w:asciiTheme="majorHAnsi" w:hAnsiTheme="majorHAnsi" w:cstheme="majorHAnsi"/>
        </w:rPr>
        <w:lastRenderedPageBreak/>
        <w:t xml:space="preserve">desarrollo (PND), con los principios de coordinación y concurrencia, con los Objetivos de Desarrollo Sostenible (ODS) y, más recientemente, se ha buscado que estén alineados con instrumentos como obras por impuestos, obras por regalías, proyectos sociales con enfoque diferencial o de género y Programas de Desarrollo con Enfoque Territorial (PDET). Además, bajo la Ley 2045 de 2020, se estableció que para los contratos de exploración y producción de hidrocarburos firmados a partir de 2021 debía haber criterios de priorización en función de la prestación de servicios públicos (ANH, 2022). </w:t>
      </w:r>
    </w:p>
    <w:p w14:paraId="4A3DC02F"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Además, la evolución de los PBC ha estado vinculada con cambios en el establecimiento de un monto mínimo obligatorio de inversión, las etapas de la actividad en la que se exige, el establecimiento de términos y de condiciones para los proyectos, así como al seguimiento de los programas (tabla 5.1). Estos cambios reflejan que, en el proceso de fortalecimiento de estos instrumentos, se ha visto la necesidad de definir criterios claros para direccionar su implementación, así como especificaciones de obligatoriedad como condiciones para un mejor desempeño.</w:t>
      </w:r>
    </w:p>
    <w:p w14:paraId="3E02A271"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Ahora bien, es vital avanzar en políticas que busquen asegurar que los beneficios de la transición no se concentren en ciertos sectores, sino que contribuyan a cerrar brechas sociales históricas, un desafío central para evitar el "</w:t>
      </w:r>
      <w:proofErr w:type="spellStart"/>
      <w:r w:rsidRPr="00984829">
        <w:rPr>
          <w:rFonts w:asciiTheme="majorHAnsi" w:hAnsiTheme="majorHAnsi" w:cstheme="majorHAnsi"/>
        </w:rPr>
        <w:t>extractivismo</w:t>
      </w:r>
      <w:proofErr w:type="spellEnd"/>
      <w:r w:rsidRPr="00984829">
        <w:rPr>
          <w:rFonts w:asciiTheme="majorHAnsi" w:hAnsiTheme="majorHAnsi" w:cstheme="majorHAnsi"/>
        </w:rPr>
        <w:t> verde" (Diagnóstico base para la TEJ, 2023). </w:t>
      </w:r>
    </w:p>
    <w:p w14:paraId="061E9AF4"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Es decir, resulta vital estructurar un nuevo paradigma legal que, configure un sendero de transición energética que no abandone los hidrocarburos, sino que los reposicione como un pilar para financiar y estabilizar un cambio gradual y ordenado hacia un sistema energético más limpio, soberano y, fundamentalmente, más justo para la sociedad.</w:t>
      </w:r>
    </w:p>
    <w:p w14:paraId="5F2B2435" w14:textId="77777777" w:rsidR="008B3252" w:rsidRPr="00984829" w:rsidRDefault="008B3252" w:rsidP="00721806">
      <w:pPr>
        <w:pStyle w:val="Prrafodelista"/>
        <w:numPr>
          <w:ilvl w:val="0"/>
          <w:numId w:val="48"/>
        </w:numPr>
        <w:spacing w:before="240"/>
        <w:jc w:val="both"/>
        <w:outlineLvl w:val="1"/>
        <w:rPr>
          <w:rFonts w:asciiTheme="majorHAnsi" w:hAnsiTheme="majorHAnsi" w:cstheme="majorHAnsi"/>
          <w:b/>
          <w:bCs/>
          <w:color w:val="D49E21"/>
        </w:rPr>
      </w:pPr>
      <w:bookmarkStart w:id="28" w:name="_Toc234942017"/>
      <w:bookmarkStart w:id="29" w:name="_Toc235107931"/>
      <w:r w:rsidRPr="00984829">
        <w:rPr>
          <w:rFonts w:asciiTheme="majorHAnsi" w:hAnsiTheme="majorHAnsi" w:cstheme="majorHAnsi"/>
          <w:b/>
          <w:bCs/>
          <w:color w:val="D49E21"/>
        </w:rPr>
        <w:t>TEJ y sus implicaciones de género y etnia en el sector de hidrocarburos</w:t>
      </w:r>
      <w:bookmarkEnd w:id="28"/>
      <w:bookmarkEnd w:id="29"/>
    </w:p>
    <w:p w14:paraId="1518ED7B" w14:textId="77777777" w:rsidR="008B3252" w:rsidRPr="00984829" w:rsidRDefault="008B3252" w:rsidP="00984829">
      <w:pPr>
        <w:spacing w:before="240"/>
        <w:ind w:firstLine="720"/>
        <w:jc w:val="both"/>
        <w:rPr>
          <w:rFonts w:asciiTheme="majorHAnsi" w:hAnsiTheme="majorHAnsi" w:cstheme="majorHAnsi"/>
        </w:rPr>
      </w:pPr>
      <w:r w:rsidRPr="00984829">
        <w:rPr>
          <w:rFonts w:asciiTheme="majorHAnsi" w:hAnsiTheme="majorHAnsi" w:cstheme="majorHAnsi"/>
        </w:rPr>
        <w:t xml:space="preserve">La participación de los actores locales, incluyendo trabajadores, comunidades afectadas y sindicatos, es esencial en el proceso de transición justa. Esto garantiza que se escuchen las voces de aquellos que se ven más directamente afectados y que se tengan en cuenta sus necesidades y preocupaciones (OIT, 2015). Es importante destacar que las transiciones energéticas justas también consideran aspectos sociales, como la equidad de género, la inclusión de comunidades marginadas y la creación de empleo decente y de calidad. El objetivo es asegurar que la transición hacia una economía </w:t>
      </w:r>
      <w:r w:rsidRPr="00984829">
        <w:rPr>
          <w:rFonts w:asciiTheme="majorHAnsi" w:hAnsiTheme="majorHAnsi" w:cstheme="majorHAnsi"/>
        </w:rPr>
        <w:lastRenderedPageBreak/>
        <w:t>baja en carbono sea sostenible, justa y beneficiosa para todos los actores involucrados (Vargas Guevara et al., 2022).</w:t>
      </w:r>
    </w:p>
    <w:p w14:paraId="785B548F"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Desde los enfoques diferenciales, es importante reconocer el impacto específico del modelo extractivista tanto por pertenencia étnica como por género. En relación con la perspectiva étnica, el hecho de que gran parte de los proyectos del sector minero-energético se ubiquen en territorios de población étnica produce tensiones entre diferentes perspectivas e intereses sobre el uso y manejo del territorio. Esto ha provocado injusticas por reconocimiento de las poblaciones étnicas dado que hay presiones que impactan su supervivencia cultural y física al entrar en disputa modelos diferentes de entender y relacionarse con la naturaleza. </w:t>
      </w:r>
    </w:p>
    <w:p w14:paraId="62C7D9B9"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Con el objeto de proteger la integridad étnica, cultural, social y económica de las poblaciones étnicas, Sentencias de la Corte Constitucional como la T-769/09 establecen que la exploración y explotación de recursos naturales en territorios étnicos debe garantizar la integridad social, cultural y económica de dichas poblaciones. Así, se ha buscado la compatibilidad entre la planificación del manejo y aprovechamiento de los recursos naturales, y los derechos de las poblaciones étnicas. </w:t>
      </w:r>
    </w:p>
    <w:p w14:paraId="27F87E14" w14:textId="77777777" w:rsidR="008B3252" w:rsidRPr="00984829" w:rsidRDefault="008B3252" w:rsidP="00984829">
      <w:pPr>
        <w:spacing w:before="240"/>
        <w:jc w:val="both"/>
        <w:rPr>
          <w:rFonts w:asciiTheme="majorHAnsi" w:hAnsiTheme="majorHAnsi" w:cstheme="majorHAnsi"/>
          <w:b/>
          <w:bCs/>
          <w:color w:val="D49E21"/>
        </w:rPr>
      </w:pPr>
      <w:r w:rsidRPr="00984829">
        <w:rPr>
          <w:rFonts w:asciiTheme="majorHAnsi" w:hAnsiTheme="majorHAnsi" w:cstheme="majorHAnsi"/>
        </w:rPr>
        <w:t>Esta medida de la Corte, entre otras, como las que soportan la consulta previa, libre e informada se suman al avance del marco jurisprudencial de la Corte Constitucional para el reconocimiento de los grupos étnicos de Colombia. No obstante, los desarrollos jurídicos en función de los derechos étnicos han desencadenado tensiones debido a que parte del sector público y privado los interpretan como barreras para sus proyectos y el desarrollo económico del país (Rodríguez Garavito &amp; Baquero Díaz, 2015)</w:t>
      </w:r>
    </w:p>
    <w:p w14:paraId="03098003" w14:textId="77777777" w:rsidR="008B3252" w:rsidRPr="00984829" w:rsidRDefault="008B3252" w:rsidP="00984829">
      <w:pPr>
        <w:spacing w:before="240"/>
        <w:jc w:val="both"/>
        <w:outlineLvl w:val="0"/>
        <w:rPr>
          <w:rFonts w:asciiTheme="majorHAnsi" w:hAnsiTheme="majorHAnsi" w:cstheme="majorHAnsi"/>
          <w:b/>
          <w:bCs/>
          <w:color w:val="D49E21"/>
        </w:rPr>
      </w:pPr>
      <w:bookmarkStart w:id="30" w:name="_Toc234942018"/>
      <w:bookmarkStart w:id="31" w:name="_Toc235107932"/>
      <w:r w:rsidRPr="00984829">
        <w:rPr>
          <w:rFonts w:asciiTheme="majorHAnsi" w:hAnsiTheme="majorHAnsi" w:cstheme="majorHAnsi"/>
          <w:b/>
          <w:bCs/>
          <w:color w:val="D49E21"/>
        </w:rPr>
        <w:t>Marco normativo</w:t>
      </w:r>
      <w:bookmarkEnd w:id="30"/>
      <w:bookmarkEnd w:id="31"/>
    </w:p>
    <w:p w14:paraId="1E80B627"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Respecto a políticas públicas para el sector de hidrocarburos, emitidas por el Consejo Nacional de Política Económica y Social – CONPES y Departamento Nacional de Planeación (DNP), destacan los siguientes CONPES relacionados con la TEJ:</w:t>
      </w:r>
    </w:p>
    <w:p w14:paraId="4AD8BF73" w14:textId="77777777" w:rsidR="008B3252" w:rsidRPr="00984829" w:rsidRDefault="008B3252" w:rsidP="00721806">
      <w:pPr>
        <w:pStyle w:val="Prrafodelista"/>
        <w:numPr>
          <w:ilvl w:val="0"/>
          <w:numId w:val="40"/>
        </w:numPr>
        <w:spacing w:before="240"/>
        <w:ind w:left="426"/>
        <w:jc w:val="both"/>
        <w:rPr>
          <w:rFonts w:asciiTheme="majorHAnsi" w:hAnsiTheme="majorHAnsi" w:cstheme="majorHAnsi"/>
        </w:rPr>
      </w:pPr>
      <w:r w:rsidRPr="00984829">
        <w:rPr>
          <w:rFonts w:asciiTheme="majorHAnsi" w:hAnsiTheme="majorHAnsi" w:cstheme="majorHAnsi"/>
        </w:rPr>
        <w:t xml:space="preserve">CONPES 3934 de 2018, Política de Crecimiento Verde, se compone de cinco ejes estratégicos: 1) orientado a generar nuevas oportunidades económicas que permitan diversificar la economía a partir de la producción de bienes y servicios basados en el uso sostenible del capital natural; 2) para mejorar </w:t>
      </w:r>
      <w:r w:rsidRPr="00984829">
        <w:rPr>
          <w:rFonts w:asciiTheme="majorHAnsi" w:hAnsiTheme="majorHAnsi" w:cstheme="majorHAnsi"/>
        </w:rPr>
        <w:lastRenderedPageBreak/>
        <w:t>el uso de los recursos naturales en los sectores económicos y se reduzcan los impactos ambientales y sociales generados por el desarrollo de las actividades productivas; 3) promueve la generación y el fortalecimiento del capital humano para afrontar los nuevos retos de conocimiento y experiencia que genera el crecimiento verde; 4) acciones estratégicas en materia de ciencia, tecnología e innovación como herramienta necesaria para avanzar hacia cambios en los sectores productivos y 5) acciones para asegurar una coordinación y articulación interinstitucional requeridas para la implementación de la presente Política, al igual que el fortalecimiento de las capacidades para la generación de información necesaria. Para el primer semestre de 2023, se alcanza un avance de ejecución del 69,4 % —del 84,2 % proyectado (</w:t>
      </w:r>
      <w:proofErr w:type="spellStart"/>
      <w:r w:rsidRPr="00984829">
        <w:rPr>
          <w:rFonts w:asciiTheme="majorHAnsi" w:hAnsiTheme="majorHAnsi" w:cstheme="majorHAnsi"/>
        </w:rPr>
        <w:t>SisCONPES</w:t>
      </w:r>
      <w:proofErr w:type="spellEnd"/>
      <w:r w:rsidRPr="00984829">
        <w:rPr>
          <w:rFonts w:asciiTheme="majorHAnsi" w:hAnsiTheme="majorHAnsi" w:cstheme="majorHAnsi"/>
        </w:rPr>
        <w:t>, s/f))</w:t>
      </w:r>
    </w:p>
    <w:p w14:paraId="783581FB" w14:textId="77777777" w:rsidR="008B3252" w:rsidRPr="00984829" w:rsidRDefault="008B3252" w:rsidP="00721806">
      <w:pPr>
        <w:pStyle w:val="Prrafodelista"/>
        <w:numPr>
          <w:ilvl w:val="0"/>
          <w:numId w:val="40"/>
        </w:numPr>
        <w:spacing w:before="240"/>
        <w:ind w:left="426"/>
        <w:jc w:val="both"/>
        <w:rPr>
          <w:rFonts w:asciiTheme="majorHAnsi" w:hAnsiTheme="majorHAnsi" w:cstheme="majorHAnsi"/>
        </w:rPr>
      </w:pPr>
      <w:r w:rsidRPr="00984829">
        <w:rPr>
          <w:rFonts w:asciiTheme="majorHAnsi" w:hAnsiTheme="majorHAnsi" w:cstheme="majorHAnsi"/>
        </w:rPr>
        <w:t>CONPES 3943 de 2018, Política para el mejoramiento de la calidad del aire, que propone acciones para reducir las concentraciones de contaminantes en el aire a través de la renovación y modernización del parque automotor, la reducción del contenido de azufre en los combustibles, la implementación de mejores técnicas y prácticas en la industria, la optimización de la gestión de la información, el desarrollo de la investigación, el ordenamiento del territorio y la gestión del riesgo por contaminación del aire. Para el primer semestre de 2023, se alcanza un avance de ejecución del 72,3 % —del 92,2 % proyectado (</w:t>
      </w:r>
      <w:proofErr w:type="spellStart"/>
      <w:r w:rsidRPr="00984829">
        <w:rPr>
          <w:rFonts w:asciiTheme="majorHAnsi" w:hAnsiTheme="majorHAnsi" w:cstheme="majorHAnsi"/>
        </w:rPr>
        <w:t>SisCONPES</w:t>
      </w:r>
      <w:proofErr w:type="spellEnd"/>
      <w:r w:rsidRPr="00984829">
        <w:rPr>
          <w:rFonts w:asciiTheme="majorHAnsi" w:hAnsiTheme="majorHAnsi" w:cstheme="majorHAnsi"/>
        </w:rPr>
        <w:t>, s/f)—</w:t>
      </w:r>
    </w:p>
    <w:p w14:paraId="37C866E8" w14:textId="77777777" w:rsidR="008B3252" w:rsidRPr="00984829" w:rsidRDefault="008B3252" w:rsidP="00721806">
      <w:pPr>
        <w:pStyle w:val="Prrafodelista"/>
        <w:numPr>
          <w:ilvl w:val="0"/>
          <w:numId w:val="40"/>
        </w:numPr>
        <w:spacing w:before="240"/>
        <w:ind w:left="426"/>
        <w:jc w:val="both"/>
        <w:rPr>
          <w:rFonts w:asciiTheme="majorHAnsi" w:hAnsiTheme="majorHAnsi" w:cstheme="majorHAnsi"/>
        </w:rPr>
      </w:pPr>
      <w:r w:rsidRPr="00984829">
        <w:rPr>
          <w:rFonts w:asciiTheme="majorHAnsi" w:hAnsiTheme="majorHAnsi" w:cstheme="majorHAnsi"/>
        </w:rPr>
        <w:t>CONPES 3919, Política nacional de edificaciones sostenibles, en la que se considera que como sector, la construcción genera importantes impactos ambientales, los cuales se incrementan a medida que la demanda por edificaciones se expande en un contexto de continua urbanización, por lo que busca impulsar la inclusión de criterios de sostenibilidad dentro del ciclo de vida de las edificaciones, a través de instrumentos para la transición, seguimiento y control, e incentivos financieros que permitan implementar iniciativas de construcción sostenible con un horizonte de acción hasta el 2025. Para el primer semestre de 2023, se alcanza un avance de ejecución del 80,1 % —del 99 % proyectado (</w:t>
      </w:r>
      <w:proofErr w:type="spellStart"/>
      <w:r w:rsidRPr="00984829">
        <w:rPr>
          <w:rFonts w:asciiTheme="majorHAnsi" w:hAnsiTheme="majorHAnsi" w:cstheme="majorHAnsi"/>
        </w:rPr>
        <w:t>SisCONPES</w:t>
      </w:r>
      <w:proofErr w:type="spellEnd"/>
      <w:r w:rsidRPr="00984829">
        <w:rPr>
          <w:rFonts w:asciiTheme="majorHAnsi" w:hAnsiTheme="majorHAnsi" w:cstheme="majorHAnsi"/>
        </w:rPr>
        <w:t>, s. f.)—</w:t>
      </w:r>
    </w:p>
    <w:p w14:paraId="1E209B57" w14:textId="77777777" w:rsidR="008B3252" w:rsidRPr="00984829" w:rsidRDefault="008B3252" w:rsidP="00721806">
      <w:pPr>
        <w:pStyle w:val="Prrafodelista"/>
        <w:numPr>
          <w:ilvl w:val="0"/>
          <w:numId w:val="40"/>
        </w:numPr>
        <w:spacing w:before="240"/>
        <w:ind w:left="426"/>
        <w:jc w:val="both"/>
        <w:rPr>
          <w:rFonts w:asciiTheme="majorHAnsi" w:hAnsiTheme="majorHAnsi" w:cstheme="majorHAnsi"/>
        </w:rPr>
      </w:pPr>
      <w:r w:rsidRPr="00984829">
        <w:rPr>
          <w:rFonts w:asciiTheme="majorHAnsi" w:hAnsiTheme="majorHAnsi" w:cstheme="majorHAnsi"/>
        </w:rPr>
        <w:t xml:space="preserve">CONPES 4075 de 2022, Política de transición energética, que contiene cuatro ejes estratégicos con el objetivo de incrementar la seguridad energética; incentivar el conocimiento y la innovación en transición energética; generar mayor competitividad y desarrollo económico desde el sector energético y desarrollar un sistema energético con bajas emisiones de GEI para disminuir las afectaciones al cambio climático. Éste consagra 97 acciones para diferentes entidades como el </w:t>
      </w:r>
      <w:r w:rsidRPr="00984829">
        <w:rPr>
          <w:rFonts w:asciiTheme="majorHAnsi" w:hAnsiTheme="majorHAnsi" w:cstheme="majorHAnsi"/>
        </w:rPr>
        <w:lastRenderedPageBreak/>
        <w:t>Ministerio de Minas y Energía, FENOGE, Ministerio de Transporte, Departamento Nacional de Planeación entre otros. El seguimiento registra un cumplimiento muy por debajo del avance proyectado, para el primer semestre de 2023, se alcanza un avance de ejecución del 3,7 % —del 51,3 % proyectado, (</w:t>
      </w:r>
      <w:proofErr w:type="spellStart"/>
      <w:r w:rsidRPr="00984829">
        <w:rPr>
          <w:rFonts w:asciiTheme="majorHAnsi" w:hAnsiTheme="majorHAnsi" w:cstheme="majorHAnsi"/>
        </w:rPr>
        <w:t>SisCONPES</w:t>
      </w:r>
      <w:proofErr w:type="spellEnd"/>
      <w:r w:rsidRPr="00984829">
        <w:rPr>
          <w:rFonts w:asciiTheme="majorHAnsi" w:hAnsiTheme="majorHAnsi" w:cstheme="majorHAnsi"/>
        </w:rPr>
        <w:t>, s. f.)</w:t>
      </w:r>
    </w:p>
    <w:p w14:paraId="63F40FE7" w14:textId="77777777" w:rsidR="008B3252" w:rsidRPr="00984829" w:rsidRDefault="008B3252" w:rsidP="00984829">
      <w:pPr>
        <w:spacing w:before="240"/>
        <w:jc w:val="both"/>
        <w:outlineLvl w:val="0"/>
        <w:rPr>
          <w:rFonts w:asciiTheme="majorHAnsi" w:hAnsiTheme="majorHAnsi" w:cstheme="majorHAnsi"/>
          <w:b/>
          <w:bCs/>
          <w:color w:val="D49E21"/>
        </w:rPr>
      </w:pPr>
      <w:bookmarkStart w:id="32" w:name="_Toc234942020"/>
      <w:bookmarkStart w:id="33" w:name="_Toc235107933"/>
      <w:r w:rsidRPr="00984829">
        <w:rPr>
          <w:rFonts w:asciiTheme="majorHAnsi" w:hAnsiTheme="majorHAnsi" w:cstheme="majorHAnsi"/>
          <w:b/>
          <w:bCs/>
          <w:color w:val="D49E21"/>
        </w:rPr>
        <w:t>Problemática</w:t>
      </w:r>
      <w:bookmarkEnd w:id="32"/>
      <w:bookmarkEnd w:id="33"/>
    </w:p>
    <w:p w14:paraId="2512ECB5" w14:textId="77777777" w:rsidR="008B3252" w:rsidRPr="00984829" w:rsidRDefault="008B3252" w:rsidP="00984829">
      <w:pPr>
        <w:spacing w:before="240"/>
        <w:ind w:firstLine="720"/>
        <w:jc w:val="both"/>
        <w:rPr>
          <w:rFonts w:asciiTheme="majorHAnsi" w:hAnsiTheme="majorHAnsi" w:cstheme="majorHAnsi"/>
        </w:rPr>
      </w:pPr>
      <w:r w:rsidRPr="00984829">
        <w:rPr>
          <w:rFonts w:asciiTheme="majorHAnsi" w:hAnsiTheme="majorHAnsi" w:cstheme="majorHAnsi"/>
        </w:rPr>
        <w:t>El Plan Nacional de Desarrollo (PND) 2022-2026 “Colombia: Potencia Mundial de la Vida” establece que la Transición Energética Justa (TEJ) se comprende y materializa desde un enfoque de justicia social, ambiental y energética, que plantea una perspectiva de equidad en la distribución de cargas y beneficios asociados a proyectos minero-energéticos y sus transiciones. Es decir, lo presenta como un proceso para la lucha contra el cambio climático, que implica la transformación de los sistemas energéticos actuales en un modelo bajo en emisiones de gases de efecto invernadero (GEI) que sea sostenible.</w:t>
      </w:r>
    </w:p>
    <w:p w14:paraId="620FA2C9"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Ahora bien, en los últimos años, el subsector de hidrocarburos en Colombia ha enfrentado tensiones entre la búsqueda de la sostenibilidad fiscal y la reproducción de la economía fósil (</w:t>
      </w:r>
      <w:proofErr w:type="spellStart"/>
      <w:r w:rsidRPr="00984829">
        <w:rPr>
          <w:rFonts w:asciiTheme="majorHAnsi" w:hAnsiTheme="majorHAnsi" w:cstheme="majorHAnsi"/>
        </w:rPr>
        <w:t>Malm</w:t>
      </w:r>
      <w:proofErr w:type="spellEnd"/>
      <w:r w:rsidRPr="00984829">
        <w:rPr>
          <w:rFonts w:asciiTheme="majorHAnsi" w:hAnsiTheme="majorHAnsi" w:cstheme="majorHAnsi"/>
        </w:rPr>
        <w:t xml:space="preserve">, 2019; Misas, 2019). Esto ocurre porque la arquitectura institucional del sector está diseñada para, primero, asegurar la continuidad de la extracción de petróleo y gas; segundo, para garantizar el financiamiento del Estado mediante rentas </w:t>
      </w:r>
      <w:proofErr w:type="spellStart"/>
      <w:r w:rsidRPr="00984829">
        <w:rPr>
          <w:rFonts w:asciiTheme="majorHAnsi" w:hAnsiTheme="majorHAnsi" w:cstheme="majorHAnsi"/>
        </w:rPr>
        <w:t>hidrocarburíferas</w:t>
      </w:r>
      <w:proofErr w:type="spellEnd"/>
      <w:r w:rsidRPr="00984829">
        <w:rPr>
          <w:rFonts w:asciiTheme="majorHAnsi" w:hAnsiTheme="majorHAnsi" w:cstheme="majorHAnsi"/>
        </w:rPr>
        <w:t xml:space="preserve">; y, tercero, para insertar al país a los mercados internacionales mediante la comercialización de materias primas. </w:t>
      </w:r>
    </w:p>
    <w:p w14:paraId="0CE4DA5B"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Teniendo en cuenta lo anterior, la falta de una estrategia integral de análisis sectorial y legislativo que armonice la eficiencia en la explotación y exploración de hidrocarburos genera incertidumbre política, desconfianza en los grupos de valor y una baja apropiación de la oferta institucional necesaria para la Transición Energética Justa, imposibilitando al sector de hidrocarburos transitar de un modelo extractivo tradicional a uno que soporte la soberanía energética del país.</w:t>
      </w:r>
    </w:p>
    <w:p w14:paraId="429986A9"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Por lo anterior, resulta prioritario considerar ¿Cómo fortalecer el análisis estratégico sectorial y legislativo para mejorar la toma de decisiones y el relacionamiento con el sector hidrocarburos en el proceso de la transición energética justa?</w:t>
      </w:r>
    </w:p>
    <w:p w14:paraId="16CFE4AD" w14:textId="77777777" w:rsidR="008B3252" w:rsidRPr="00984829" w:rsidRDefault="008B3252" w:rsidP="00984829">
      <w:pPr>
        <w:spacing w:before="240"/>
        <w:jc w:val="both"/>
        <w:outlineLvl w:val="0"/>
        <w:rPr>
          <w:rFonts w:asciiTheme="majorHAnsi" w:hAnsiTheme="majorHAnsi" w:cstheme="majorHAnsi"/>
          <w:b/>
          <w:bCs/>
          <w:color w:val="D49E21"/>
        </w:rPr>
      </w:pPr>
      <w:bookmarkStart w:id="34" w:name="_Toc234942021"/>
      <w:bookmarkStart w:id="35" w:name="_Toc235107934"/>
      <w:r w:rsidRPr="00984829">
        <w:rPr>
          <w:rFonts w:asciiTheme="majorHAnsi" w:hAnsiTheme="majorHAnsi" w:cstheme="majorHAnsi"/>
          <w:b/>
          <w:bCs/>
          <w:color w:val="D49E21"/>
        </w:rPr>
        <w:t>Hipótesis</w:t>
      </w:r>
      <w:bookmarkEnd w:id="34"/>
      <w:bookmarkEnd w:id="35"/>
    </w:p>
    <w:p w14:paraId="40848E2D"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lastRenderedPageBreak/>
        <w:t>La identificación y el cierre de las brechas, mediante el análisis estratégico y la concertación con actores del sector, permitirá armonizar la eficiencia en la exploración de hidrocarburos con el fomento de nuevas energías, garantizando así la soberanía energética de Colombia en el marco de la Transición Energética Justa (TEJ)</w:t>
      </w:r>
    </w:p>
    <w:p w14:paraId="384F1935" w14:textId="77777777" w:rsidR="008B3252" w:rsidRPr="00984829" w:rsidRDefault="008B3252" w:rsidP="00984829">
      <w:pPr>
        <w:spacing w:before="240"/>
        <w:jc w:val="both"/>
        <w:outlineLvl w:val="0"/>
        <w:rPr>
          <w:rFonts w:asciiTheme="majorHAnsi" w:hAnsiTheme="majorHAnsi" w:cstheme="majorHAnsi"/>
          <w:b/>
          <w:bCs/>
          <w:color w:val="D49E21"/>
        </w:rPr>
      </w:pPr>
      <w:bookmarkStart w:id="36" w:name="_Toc234942022"/>
      <w:bookmarkStart w:id="37" w:name="_Toc235107935"/>
      <w:r w:rsidRPr="00984829">
        <w:rPr>
          <w:rFonts w:asciiTheme="majorHAnsi" w:hAnsiTheme="majorHAnsi" w:cstheme="majorHAnsi"/>
          <w:b/>
          <w:bCs/>
          <w:color w:val="D49E21"/>
        </w:rPr>
        <w:t>Objetivos</w:t>
      </w:r>
      <w:bookmarkStart w:id="38" w:name="_Toc234942023"/>
      <w:bookmarkEnd w:id="36"/>
      <w:bookmarkEnd w:id="37"/>
    </w:p>
    <w:p w14:paraId="4D86DD52" w14:textId="77777777" w:rsidR="008B3252" w:rsidRPr="00984829" w:rsidRDefault="008B3252" w:rsidP="00721806">
      <w:pPr>
        <w:pStyle w:val="Prrafodelista"/>
        <w:numPr>
          <w:ilvl w:val="0"/>
          <w:numId w:val="49"/>
        </w:numPr>
        <w:spacing w:before="240"/>
        <w:jc w:val="both"/>
        <w:outlineLvl w:val="0"/>
        <w:rPr>
          <w:rFonts w:asciiTheme="majorHAnsi" w:hAnsiTheme="majorHAnsi" w:cstheme="majorHAnsi"/>
          <w:b/>
          <w:bCs/>
          <w:color w:val="D49E21"/>
        </w:rPr>
      </w:pPr>
      <w:bookmarkStart w:id="39" w:name="_Toc235107936"/>
      <w:r w:rsidRPr="00984829">
        <w:rPr>
          <w:rFonts w:asciiTheme="majorHAnsi" w:hAnsiTheme="majorHAnsi" w:cstheme="majorHAnsi"/>
          <w:b/>
          <w:bCs/>
          <w:color w:val="D49E21"/>
        </w:rPr>
        <w:t>Objetivo general</w:t>
      </w:r>
      <w:bookmarkEnd w:id="38"/>
      <w:bookmarkEnd w:id="39"/>
    </w:p>
    <w:p w14:paraId="49E56F2D"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Fortalecer el análisis estratégico sectorial y legislativo para mejorar la toma de decisiones y el relacionamiento con actores del sector hidrocarburos en el proceso de la formulación de la Política de Transición Energética Justa.</w:t>
      </w:r>
    </w:p>
    <w:p w14:paraId="01E6E9C4" w14:textId="77777777" w:rsidR="008B3252" w:rsidRPr="00984829" w:rsidRDefault="008B3252" w:rsidP="00721806">
      <w:pPr>
        <w:pStyle w:val="Prrafodelista"/>
        <w:numPr>
          <w:ilvl w:val="0"/>
          <w:numId w:val="49"/>
        </w:numPr>
        <w:spacing w:before="240"/>
        <w:jc w:val="both"/>
        <w:outlineLvl w:val="0"/>
        <w:rPr>
          <w:rFonts w:asciiTheme="majorHAnsi" w:hAnsiTheme="majorHAnsi" w:cstheme="majorHAnsi"/>
          <w:b/>
          <w:bCs/>
          <w:color w:val="D49E21"/>
        </w:rPr>
      </w:pPr>
      <w:bookmarkStart w:id="40" w:name="_Toc234942024"/>
      <w:bookmarkStart w:id="41" w:name="_Toc235107937"/>
      <w:r w:rsidRPr="00984829">
        <w:rPr>
          <w:rFonts w:asciiTheme="majorHAnsi" w:hAnsiTheme="majorHAnsi" w:cstheme="majorHAnsi"/>
          <w:b/>
          <w:bCs/>
          <w:color w:val="D49E21"/>
        </w:rPr>
        <w:t>Objetivos específicos</w:t>
      </w:r>
      <w:bookmarkEnd w:id="40"/>
      <w:bookmarkEnd w:id="41"/>
    </w:p>
    <w:p w14:paraId="12A2C492" w14:textId="77777777" w:rsidR="008757C2" w:rsidRPr="00984829" w:rsidRDefault="008757C2" w:rsidP="00984829">
      <w:pPr>
        <w:pStyle w:val="Prrafodelista"/>
        <w:spacing w:before="240"/>
        <w:jc w:val="both"/>
        <w:outlineLvl w:val="0"/>
        <w:rPr>
          <w:rFonts w:asciiTheme="majorHAnsi" w:hAnsiTheme="majorHAnsi" w:cstheme="majorHAnsi"/>
          <w:b/>
          <w:bCs/>
          <w:color w:val="D49E21"/>
        </w:rPr>
      </w:pPr>
    </w:p>
    <w:p w14:paraId="095BC9A5" w14:textId="77777777" w:rsidR="008B3252" w:rsidRPr="00984829" w:rsidRDefault="008B3252" w:rsidP="00721806">
      <w:pPr>
        <w:pStyle w:val="Prrafodelista"/>
        <w:numPr>
          <w:ilvl w:val="1"/>
          <w:numId w:val="47"/>
        </w:numPr>
        <w:spacing w:before="240"/>
        <w:ind w:left="567"/>
        <w:jc w:val="both"/>
        <w:rPr>
          <w:rFonts w:asciiTheme="majorHAnsi" w:hAnsiTheme="majorHAnsi" w:cstheme="majorHAnsi"/>
        </w:rPr>
      </w:pPr>
      <w:r w:rsidRPr="00984829">
        <w:rPr>
          <w:rFonts w:asciiTheme="majorHAnsi" w:hAnsiTheme="majorHAnsi" w:cstheme="majorHAnsi"/>
        </w:rPr>
        <w:t>Recopilar información estratégica sobre las normas, prácticas y políticas necesarias para implementar la TEJ en el sector de Hidrocarburos, que permita identificar brechas o ausencias regulatorias en el sector y oportunidades de mejora.</w:t>
      </w:r>
    </w:p>
    <w:p w14:paraId="215376B1" w14:textId="77777777" w:rsidR="008B3252" w:rsidRPr="00984829" w:rsidRDefault="008B3252" w:rsidP="00721806">
      <w:pPr>
        <w:pStyle w:val="Prrafodelista"/>
        <w:numPr>
          <w:ilvl w:val="1"/>
          <w:numId w:val="47"/>
        </w:numPr>
        <w:spacing w:before="240"/>
        <w:ind w:left="567"/>
        <w:jc w:val="both"/>
        <w:rPr>
          <w:rFonts w:asciiTheme="majorHAnsi" w:hAnsiTheme="majorHAnsi" w:cstheme="majorHAnsi"/>
        </w:rPr>
      </w:pPr>
      <w:r w:rsidRPr="00984829">
        <w:rPr>
          <w:rFonts w:asciiTheme="majorHAnsi" w:hAnsiTheme="majorHAnsi" w:cstheme="majorHAnsi"/>
        </w:rPr>
        <w:t>Identificar las percepciones, experiencias y necesidades de los distintos actores involucrados en la TEJ con el fin de producir información útil sobre las normas, prácticas y políticas necesarias para implementarla la TEJ en el sector de Hidrocarburos.</w:t>
      </w:r>
    </w:p>
    <w:p w14:paraId="19FD1D2D" w14:textId="77777777" w:rsidR="008B3252" w:rsidRPr="00984829" w:rsidRDefault="008B3252" w:rsidP="00721806">
      <w:pPr>
        <w:pStyle w:val="Prrafodelista"/>
        <w:numPr>
          <w:ilvl w:val="1"/>
          <w:numId w:val="47"/>
        </w:numPr>
        <w:spacing w:before="240"/>
        <w:ind w:left="567"/>
        <w:jc w:val="both"/>
        <w:rPr>
          <w:rFonts w:asciiTheme="majorHAnsi" w:hAnsiTheme="majorHAnsi" w:cstheme="majorHAnsi"/>
        </w:rPr>
      </w:pPr>
      <w:r w:rsidRPr="00984829">
        <w:rPr>
          <w:rFonts w:asciiTheme="majorHAnsi" w:hAnsiTheme="majorHAnsi" w:cstheme="majorHAnsi"/>
        </w:rPr>
        <w:t>Construir recomendaciones y estrategias institucionales para la implementación de la TEJ en el sector de Hidrocarburos, de acuerdo a las brechas identificadas.</w:t>
      </w:r>
    </w:p>
    <w:p w14:paraId="1E54F5A8" w14:textId="77777777" w:rsidR="008B3252" w:rsidRPr="00984829" w:rsidRDefault="008B3252" w:rsidP="00984829">
      <w:pPr>
        <w:spacing w:before="240"/>
        <w:jc w:val="both"/>
        <w:outlineLvl w:val="0"/>
        <w:rPr>
          <w:rFonts w:asciiTheme="majorHAnsi" w:hAnsiTheme="majorHAnsi" w:cstheme="majorHAnsi"/>
          <w:b/>
          <w:bCs/>
          <w:color w:val="D49E21"/>
        </w:rPr>
      </w:pPr>
      <w:bookmarkStart w:id="42" w:name="_Toc234942025"/>
      <w:bookmarkStart w:id="43" w:name="_Toc235107938"/>
      <w:r w:rsidRPr="00984829">
        <w:rPr>
          <w:rFonts w:asciiTheme="majorHAnsi" w:hAnsiTheme="majorHAnsi" w:cstheme="majorHAnsi"/>
          <w:b/>
          <w:bCs/>
          <w:color w:val="D49E21"/>
        </w:rPr>
        <w:t>Metodología</w:t>
      </w:r>
      <w:bookmarkEnd w:id="42"/>
      <w:bookmarkEnd w:id="43"/>
    </w:p>
    <w:p w14:paraId="3C60EB40"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Se propone un diseño metodológico con dos orientaciones complementarias: documental y dialógica. La primera supone sistematizar y analizar fuentes secundarias de información, mientras que la segunda implica interactuar con grupos de interés. A su vez, este diseño tiene un enfoque mixto —cuantitativo y cualitativo—, la aplicación de una serie de métodos estadísticos —comparativos, de diagnóstico participativo y de grupos de discusión—, un conjunto de instrumentos orientadas al análisis de contenido y al análisis comparativo —benchmarking normativo, cuestionarios, conversación comunitaria y matrices </w:t>
      </w:r>
      <w:r w:rsidRPr="00984829">
        <w:rPr>
          <w:rFonts w:asciiTheme="majorHAnsi" w:hAnsiTheme="majorHAnsi" w:cstheme="majorHAnsi"/>
        </w:rPr>
        <w:lastRenderedPageBreak/>
        <w:t>de priorización de necesidades—, y se contempla utilizar una serie de unidades de análisis: el archivo hemerográfico, los documentos estadísticos, los informes oficiales, entre otros</w:t>
      </w:r>
    </w:p>
    <w:p w14:paraId="6D2DB915" w14:textId="77777777" w:rsidR="008B3252" w:rsidRPr="00984829" w:rsidRDefault="008B3252" w:rsidP="00721806">
      <w:pPr>
        <w:pStyle w:val="Prrafodelista"/>
        <w:numPr>
          <w:ilvl w:val="0"/>
          <w:numId w:val="50"/>
        </w:numPr>
        <w:spacing w:before="240"/>
        <w:jc w:val="both"/>
        <w:outlineLvl w:val="1"/>
        <w:rPr>
          <w:rFonts w:asciiTheme="majorHAnsi" w:hAnsiTheme="majorHAnsi" w:cstheme="majorHAnsi"/>
          <w:b/>
          <w:bCs/>
          <w:color w:val="D49E21"/>
        </w:rPr>
      </w:pPr>
      <w:bookmarkStart w:id="44" w:name="_Toc234942026"/>
      <w:bookmarkStart w:id="45" w:name="_Toc235107939"/>
      <w:r w:rsidRPr="00984829">
        <w:rPr>
          <w:rFonts w:asciiTheme="majorHAnsi" w:hAnsiTheme="majorHAnsi" w:cstheme="majorHAnsi"/>
          <w:b/>
          <w:bCs/>
          <w:color w:val="D49E21"/>
        </w:rPr>
        <w:t>Línea de trabajo documental</w:t>
      </w:r>
      <w:bookmarkEnd w:id="44"/>
      <w:bookmarkEnd w:id="45"/>
      <w:r w:rsidRPr="00984829">
        <w:rPr>
          <w:rFonts w:asciiTheme="majorHAnsi" w:hAnsiTheme="majorHAnsi" w:cstheme="majorHAnsi"/>
          <w:b/>
          <w:bCs/>
          <w:color w:val="D49E21"/>
        </w:rPr>
        <w:t xml:space="preserve"> </w:t>
      </w:r>
    </w:p>
    <w:p w14:paraId="0E225BBC"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Esta línea tiene como objetivo analizar fuentes secundarias, para producir información sobre las normas, prácticas y políticas necesarias para implementar la TEJ. Esta línea se estructura a partir de dos métodos: comparativos y estadísticos. </w:t>
      </w:r>
    </w:p>
    <w:p w14:paraId="5725ED93" w14:textId="77777777" w:rsidR="008B3252" w:rsidRPr="00984829" w:rsidRDefault="008B3252" w:rsidP="00984829">
      <w:pPr>
        <w:spacing w:before="240"/>
        <w:ind w:firstLine="720"/>
        <w:jc w:val="both"/>
        <w:rPr>
          <w:rFonts w:asciiTheme="majorHAnsi" w:hAnsiTheme="majorHAnsi" w:cstheme="majorHAnsi"/>
          <w:b/>
          <w:bCs/>
        </w:rPr>
      </w:pPr>
      <w:r w:rsidRPr="00984829">
        <w:rPr>
          <w:rFonts w:asciiTheme="majorHAnsi" w:hAnsiTheme="majorHAnsi" w:cstheme="majorHAnsi"/>
          <w:b/>
          <w:bCs/>
          <w:color w:val="D49E21"/>
        </w:rPr>
        <w:t>Comparativos</w:t>
      </w:r>
    </w:p>
    <w:p w14:paraId="6517F5AB"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En los métodos comparativos se hará́ comparación estructurada de marcos regulatorios e institucionales, enfocado en Colombia y en países que avanzan en la transición energética. Se estructurará en tres dimensiones: </w:t>
      </w:r>
    </w:p>
    <w:p w14:paraId="63389615" w14:textId="77777777" w:rsidR="008B3252" w:rsidRPr="00984829" w:rsidRDefault="008B3252" w:rsidP="00721806">
      <w:pPr>
        <w:pStyle w:val="Prrafodelista"/>
        <w:numPr>
          <w:ilvl w:val="0"/>
          <w:numId w:val="47"/>
        </w:numPr>
        <w:spacing w:before="240"/>
        <w:jc w:val="both"/>
        <w:rPr>
          <w:rFonts w:asciiTheme="majorHAnsi" w:hAnsiTheme="majorHAnsi" w:cstheme="majorHAnsi"/>
        </w:rPr>
      </w:pPr>
      <w:r w:rsidRPr="00984829">
        <w:rPr>
          <w:rFonts w:asciiTheme="majorHAnsi" w:hAnsiTheme="majorHAnsi" w:cstheme="majorHAnsi"/>
        </w:rPr>
        <w:t xml:space="preserve">Arquitectura institucional del sector minero energético </w:t>
      </w:r>
    </w:p>
    <w:p w14:paraId="0CE2923A" w14:textId="77777777" w:rsidR="008B3252" w:rsidRPr="00984829" w:rsidRDefault="008B3252" w:rsidP="00721806">
      <w:pPr>
        <w:pStyle w:val="Prrafodelista"/>
        <w:numPr>
          <w:ilvl w:val="0"/>
          <w:numId w:val="47"/>
        </w:numPr>
        <w:spacing w:before="240"/>
        <w:jc w:val="both"/>
        <w:rPr>
          <w:rFonts w:asciiTheme="majorHAnsi" w:hAnsiTheme="majorHAnsi" w:cstheme="majorHAnsi"/>
        </w:rPr>
      </w:pPr>
      <w:r w:rsidRPr="00984829">
        <w:rPr>
          <w:rFonts w:asciiTheme="majorHAnsi" w:hAnsiTheme="majorHAnsi" w:cstheme="majorHAnsi"/>
        </w:rPr>
        <w:t xml:space="preserve">Políticas públicas (económicas, sociales y medioambientales) de fomento a la transición energética </w:t>
      </w:r>
    </w:p>
    <w:p w14:paraId="6B107271" w14:textId="77777777" w:rsidR="008B3252" w:rsidRPr="00984829" w:rsidRDefault="008B3252" w:rsidP="00721806">
      <w:pPr>
        <w:pStyle w:val="Prrafodelista"/>
        <w:numPr>
          <w:ilvl w:val="0"/>
          <w:numId w:val="47"/>
        </w:numPr>
        <w:spacing w:before="240"/>
        <w:jc w:val="both"/>
        <w:rPr>
          <w:rFonts w:asciiTheme="majorHAnsi" w:hAnsiTheme="majorHAnsi" w:cstheme="majorHAnsi"/>
        </w:rPr>
      </w:pPr>
      <w:r w:rsidRPr="00984829">
        <w:rPr>
          <w:rFonts w:asciiTheme="majorHAnsi" w:hAnsiTheme="majorHAnsi" w:cstheme="majorHAnsi"/>
        </w:rPr>
        <w:t xml:space="preserve">Políticas fiscales para la transición </w:t>
      </w:r>
    </w:p>
    <w:p w14:paraId="71033BCE"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Estos ejercicios permitirán identificar brechas o ausencias regulatorias en el sector minero energético colombiano y oportunidades de mejora a partir de la evidencia comparada y de los estándares internacionalmente.</w:t>
      </w:r>
    </w:p>
    <w:p w14:paraId="241A3743" w14:textId="77777777" w:rsidR="008B3252" w:rsidRPr="00984829" w:rsidRDefault="008B3252" w:rsidP="00984829">
      <w:pPr>
        <w:spacing w:before="240"/>
        <w:ind w:firstLine="720"/>
        <w:jc w:val="both"/>
        <w:rPr>
          <w:rFonts w:asciiTheme="majorHAnsi" w:hAnsiTheme="majorHAnsi" w:cstheme="majorHAnsi"/>
        </w:rPr>
      </w:pPr>
      <w:r w:rsidRPr="00984829">
        <w:rPr>
          <w:rFonts w:asciiTheme="majorHAnsi" w:hAnsiTheme="majorHAnsi" w:cstheme="majorHAnsi"/>
          <w:b/>
          <w:bCs/>
          <w:color w:val="D49E21"/>
        </w:rPr>
        <w:t xml:space="preserve">Estadísticos </w:t>
      </w:r>
    </w:p>
    <w:p w14:paraId="1CC6CEB2"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En los métodos estadísticos se aplicará un cuestionario para identificar políticas, prácticas, barreras y prioridades para la implementación de la TEJ. Los cuestionarios permitirán recopilar información estratégica para estructurar las recomendaciones para la implementación TEJ, estos se dirigirán a 20 empresas representativas del subsector de hidrocarburos </w:t>
      </w:r>
    </w:p>
    <w:p w14:paraId="11F455D6" w14:textId="77777777" w:rsidR="008B3252" w:rsidRPr="00984829" w:rsidRDefault="008B3252" w:rsidP="00721806">
      <w:pPr>
        <w:pStyle w:val="Prrafodelista"/>
        <w:numPr>
          <w:ilvl w:val="0"/>
          <w:numId w:val="50"/>
        </w:numPr>
        <w:spacing w:before="240"/>
        <w:jc w:val="both"/>
        <w:outlineLvl w:val="1"/>
        <w:rPr>
          <w:rFonts w:asciiTheme="majorHAnsi" w:hAnsiTheme="majorHAnsi" w:cstheme="majorHAnsi"/>
          <w:b/>
          <w:bCs/>
          <w:color w:val="D49E21"/>
        </w:rPr>
      </w:pPr>
      <w:bookmarkStart w:id="46" w:name="_Toc234942027"/>
      <w:bookmarkStart w:id="47" w:name="_Toc235107940"/>
      <w:r w:rsidRPr="00984829">
        <w:rPr>
          <w:rFonts w:asciiTheme="majorHAnsi" w:hAnsiTheme="majorHAnsi" w:cstheme="majorHAnsi"/>
          <w:b/>
          <w:bCs/>
          <w:color w:val="D49E21"/>
        </w:rPr>
        <w:t>Línea de trabajo dialógica</w:t>
      </w:r>
      <w:bookmarkEnd w:id="46"/>
      <w:bookmarkEnd w:id="47"/>
    </w:p>
    <w:p w14:paraId="658DBE0B"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lastRenderedPageBreak/>
        <w:t xml:space="preserve">Esta línea tiene como objetivo identificar las percepciones, experiencias y necesidades de los distintos actores involucrados en la TEJ con la in de producir información útil sobre las normas, prácticas y políticas necesarias para implementarla y para sistematizar propuestas sobre una potencial estructura del sector minero energético. Para ello, se propone una metodología cualitativa estructurada a partir de entrevistas semiestructuradas. </w:t>
      </w:r>
    </w:p>
    <w:p w14:paraId="09C09AE5" w14:textId="77777777" w:rsidR="008B3252" w:rsidRPr="00984829" w:rsidRDefault="008B3252" w:rsidP="00984829">
      <w:pPr>
        <w:spacing w:before="240"/>
        <w:ind w:firstLine="720"/>
        <w:jc w:val="both"/>
        <w:rPr>
          <w:rFonts w:asciiTheme="majorHAnsi" w:hAnsiTheme="majorHAnsi" w:cstheme="majorHAnsi"/>
          <w:b/>
          <w:bCs/>
          <w:color w:val="D49E21"/>
        </w:rPr>
      </w:pPr>
      <w:r w:rsidRPr="00984829">
        <w:rPr>
          <w:rFonts w:asciiTheme="majorHAnsi" w:hAnsiTheme="majorHAnsi" w:cstheme="majorHAnsi"/>
          <w:b/>
          <w:bCs/>
          <w:color w:val="D49E21"/>
        </w:rPr>
        <w:t>Entrevistas</w:t>
      </w:r>
    </w:p>
    <w:p w14:paraId="3D02F013"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Este método será llevado a cabo con organizaciones sociales que tengan relación con la transición energética. Las organizaciones sociales de interés comprenden gremios empresariales, sindicatos u organizaciones de trabajadores(as), organizaciones de mujeres, grupos étnicos y diversidades sexuales y grupos de investigación vinculados al sector. Podrán realizarse en forma virtual o presencial, teniendo en cuenta la capacidad de movilización de recursos disponibles. </w:t>
      </w:r>
    </w:p>
    <w:p w14:paraId="34C0DB2D"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Se proponen entrevistas semiestructuradas y guías de discusión que traten las siguientes temáticas: </w:t>
      </w:r>
    </w:p>
    <w:p w14:paraId="65A511C1" w14:textId="77777777" w:rsidR="008B3252" w:rsidRPr="00984829" w:rsidRDefault="008B3252" w:rsidP="00721806">
      <w:pPr>
        <w:pStyle w:val="Prrafodelista"/>
        <w:numPr>
          <w:ilvl w:val="0"/>
          <w:numId w:val="41"/>
        </w:numPr>
        <w:spacing w:before="240"/>
        <w:jc w:val="both"/>
        <w:rPr>
          <w:rFonts w:asciiTheme="majorHAnsi" w:hAnsiTheme="majorHAnsi" w:cstheme="majorHAnsi"/>
        </w:rPr>
      </w:pPr>
      <w:r w:rsidRPr="00984829">
        <w:rPr>
          <w:rFonts w:asciiTheme="majorHAnsi" w:hAnsiTheme="majorHAnsi" w:cstheme="majorHAnsi"/>
          <w:b/>
          <w:bCs/>
        </w:rPr>
        <w:t>Imaginarios sobre la transición energética:</w:t>
      </w:r>
      <w:r w:rsidRPr="00984829">
        <w:rPr>
          <w:rFonts w:asciiTheme="majorHAnsi" w:hAnsiTheme="majorHAnsi" w:cstheme="majorHAnsi"/>
        </w:rPr>
        <w:t xml:space="preserve"> Explorar las visiones sobre la dependencia económica del país frente a los combustibles fósiles y cómo visualizan una economía diversificada. Identificar otros imaginarios alrededor del sector de Hidrocarburos</w:t>
      </w:r>
    </w:p>
    <w:p w14:paraId="08A7131A" w14:textId="77777777" w:rsidR="008B3252" w:rsidRPr="00984829" w:rsidRDefault="008B3252" w:rsidP="00721806">
      <w:pPr>
        <w:pStyle w:val="Prrafodelista"/>
        <w:numPr>
          <w:ilvl w:val="0"/>
          <w:numId w:val="41"/>
        </w:numPr>
        <w:spacing w:before="240"/>
        <w:jc w:val="both"/>
        <w:rPr>
          <w:rFonts w:asciiTheme="majorHAnsi" w:hAnsiTheme="majorHAnsi" w:cstheme="majorHAnsi"/>
        </w:rPr>
      </w:pPr>
      <w:r w:rsidRPr="00984829">
        <w:rPr>
          <w:rFonts w:asciiTheme="majorHAnsi" w:hAnsiTheme="majorHAnsi" w:cstheme="majorHAnsi"/>
          <w:b/>
          <w:bCs/>
        </w:rPr>
        <w:t>Percepción de la institucionalidad y sus transformaciones:</w:t>
      </w:r>
      <w:r w:rsidRPr="00984829">
        <w:rPr>
          <w:rFonts w:asciiTheme="majorHAnsi" w:hAnsiTheme="majorHAnsi" w:cstheme="majorHAnsi"/>
        </w:rPr>
        <w:t xml:space="preserve"> Evaluar si la estructura actual (como la del Ministerio de Minas y Energía) es adecuada o si sus modelos generan conflictos que requieren mayor participación ciudadana y justicia procedimental.</w:t>
      </w:r>
    </w:p>
    <w:p w14:paraId="0C9474D6" w14:textId="77777777" w:rsidR="008B3252" w:rsidRPr="00984829" w:rsidRDefault="008B3252" w:rsidP="00721806">
      <w:pPr>
        <w:pStyle w:val="Prrafodelista"/>
        <w:numPr>
          <w:ilvl w:val="0"/>
          <w:numId w:val="41"/>
        </w:numPr>
        <w:spacing w:before="240"/>
        <w:jc w:val="both"/>
        <w:rPr>
          <w:rFonts w:asciiTheme="majorHAnsi" w:hAnsiTheme="majorHAnsi" w:cstheme="majorHAnsi"/>
        </w:rPr>
      </w:pPr>
      <w:r w:rsidRPr="00984829">
        <w:rPr>
          <w:rFonts w:asciiTheme="majorHAnsi" w:hAnsiTheme="majorHAnsi" w:cstheme="majorHAnsi"/>
          <w:b/>
          <w:bCs/>
        </w:rPr>
        <w:t>Requerimientos normativos para la TEJ:</w:t>
      </w:r>
      <w:r w:rsidRPr="00984829">
        <w:rPr>
          <w:rFonts w:asciiTheme="majorHAnsi" w:hAnsiTheme="majorHAnsi" w:cstheme="majorHAnsi"/>
        </w:rPr>
        <w:t xml:space="preserve"> Analizar instrumentos actuales como los Programas en Beneficio de las Comunidades (PBC) y la Estrategia Territorial de Hidrocarburos (ETH), entre otros, para proponer un "nuevo paradigma legal" que posicione a los hidrocarburos como pilar financiero de una transición gradual.</w:t>
      </w:r>
    </w:p>
    <w:p w14:paraId="3652E58C" w14:textId="77777777" w:rsidR="008B3252" w:rsidRPr="00984829" w:rsidRDefault="008B3252" w:rsidP="00721806">
      <w:pPr>
        <w:pStyle w:val="Prrafodelista"/>
        <w:numPr>
          <w:ilvl w:val="0"/>
          <w:numId w:val="41"/>
        </w:numPr>
        <w:spacing w:before="240"/>
        <w:jc w:val="both"/>
        <w:rPr>
          <w:rFonts w:asciiTheme="majorHAnsi" w:hAnsiTheme="majorHAnsi" w:cstheme="majorHAnsi"/>
        </w:rPr>
      </w:pPr>
      <w:r w:rsidRPr="00984829">
        <w:rPr>
          <w:rFonts w:asciiTheme="majorHAnsi" w:hAnsiTheme="majorHAnsi" w:cstheme="majorHAnsi"/>
          <w:b/>
          <w:bCs/>
        </w:rPr>
        <w:t>TEJ y sus implicaciones de género y etnia:</w:t>
      </w:r>
      <w:r w:rsidRPr="00984829">
        <w:rPr>
          <w:rFonts w:asciiTheme="majorHAnsi" w:hAnsiTheme="majorHAnsi" w:cstheme="majorHAnsi"/>
        </w:rPr>
        <w:t xml:space="preserve"> Discutir el impacto diferencial del modelo extractivista, la protección de la integridad cultural de los grupos étnicos y la creación de empleos dignos con equidad de género</w:t>
      </w:r>
      <w:r w:rsidR="008757C2" w:rsidRPr="00984829">
        <w:rPr>
          <w:rFonts w:asciiTheme="majorHAnsi" w:hAnsiTheme="majorHAnsi" w:cstheme="majorHAnsi"/>
        </w:rPr>
        <w:t>.</w:t>
      </w:r>
    </w:p>
    <w:p w14:paraId="253D015B" w14:textId="77777777" w:rsidR="008757C2" w:rsidRPr="00984829" w:rsidRDefault="008757C2" w:rsidP="00984829">
      <w:pPr>
        <w:pStyle w:val="Prrafodelista"/>
        <w:spacing w:before="240"/>
        <w:ind w:left="1440"/>
        <w:jc w:val="both"/>
        <w:rPr>
          <w:rFonts w:asciiTheme="majorHAnsi" w:hAnsiTheme="majorHAnsi" w:cstheme="majorHAnsi"/>
        </w:rPr>
      </w:pPr>
    </w:p>
    <w:p w14:paraId="3069BD34" w14:textId="77777777" w:rsidR="008B3252" w:rsidRPr="00984829" w:rsidRDefault="008B3252" w:rsidP="00721806">
      <w:pPr>
        <w:pStyle w:val="Prrafodelista"/>
        <w:numPr>
          <w:ilvl w:val="0"/>
          <w:numId w:val="50"/>
        </w:numPr>
        <w:spacing w:before="240"/>
        <w:jc w:val="both"/>
        <w:outlineLvl w:val="1"/>
        <w:rPr>
          <w:rFonts w:asciiTheme="majorHAnsi" w:hAnsiTheme="majorHAnsi" w:cstheme="majorHAnsi"/>
          <w:b/>
          <w:bCs/>
          <w:color w:val="D49E21"/>
        </w:rPr>
      </w:pPr>
      <w:bookmarkStart w:id="48" w:name="_Toc234942028"/>
      <w:bookmarkStart w:id="49" w:name="_Toc235107941"/>
      <w:r w:rsidRPr="00984829">
        <w:rPr>
          <w:rFonts w:asciiTheme="majorHAnsi" w:hAnsiTheme="majorHAnsi" w:cstheme="majorHAnsi"/>
          <w:b/>
          <w:bCs/>
          <w:color w:val="D49E21"/>
        </w:rPr>
        <w:t>Análisis de la información.</w:t>
      </w:r>
      <w:bookmarkEnd w:id="48"/>
      <w:bookmarkEnd w:id="49"/>
      <w:r w:rsidRPr="00984829">
        <w:rPr>
          <w:rFonts w:asciiTheme="majorHAnsi" w:hAnsiTheme="majorHAnsi" w:cstheme="majorHAnsi"/>
          <w:b/>
          <w:bCs/>
          <w:color w:val="D49E21"/>
        </w:rPr>
        <w:t xml:space="preserve"> </w:t>
      </w:r>
    </w:p>
    <w:p w14:paraId="638C2FC2"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lastRenderedPageBreak/>
        <w:t xml:space="preserve">La metodología para el análisis de la información se estructura como un diseño integral de enfoque mixto, que busca armonizar la rigurosidad de los datos cuantitativos con la profundidad de las realidades cualitativas para orientar la toma de decisiones estratégicas. Este proceso se articula a través de dos orientaciones complementarias: una línea de trabajo documental y una línea dialógica. </w:t>
      </w:r>
    </w:p>
    <w:p w14:paraId="14110457"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La primera fase del análisis se fundamenta en la dimensión documental, donde se sistematizan fuentes secundarias, informes oficiales y documentos estadísticos para identificar brechas y ausencias regulatorias en el sector. Mediante un método de benchmarking normativo, se realiza una comparación estructurada entre el marco colombiano y los modelos de países que lideran la transición, como México y China, evaluando dimensiones como la arquitectura institucional, las políticas públicas de fomento y los regímenes fiscales. </w:t>
      </w:r>
    </w:p>
    <w:p w14:paraId="6BE02F6E"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Este componente técnico se complementa con un análisis estadístico derivado de cuestionarios estratégicos aplicados a empresas del subsector y organizaciones de la sociedad civil, permitiendo mapear con precisión las barreras operativas y las prioridades sectoriales para la implementación de la Transición Energética Justa (TEJ). </w:t>
      </w:r>
    </w:p>
    <w:p w14:paraId="12888726"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De manera simultánea, la metodología despliega su dimensión dialógica para capturar las percepciones, experiencias y necesidades de los actores que viven la transición en el territorio. A través de entrevistas semiestructuradas, se fomenta un espacio de conversación humana y significativa donde gremios, sindicatos, grupos étnicos y organizaciones de mujeres aportan su visión sobre el futuro energético. </w:t>
      </w:r>
    </w:p>
    <w:p w14:paraId="1AB57DC5"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Este diálogo no es disperso, sino que se organiza bajo cuatro categorías de análisis fundamentales: los imaginarios sobre la diversificación económica, la percepción de la institucionalidad frente a los modelos centralizados, los requerimientos normativos (como los Programas en Beneficio de las Comunidades) y las implicaciones de género y etnia para prevenir la vulneración de la integridad cultural. </w:t>
      </w:r>
    </w:p>
    <w:p w14:paraId="3FA6B48D"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Para implementar una triangulación de información, se utilizará ATLAS.TI. para la codificación de la información en las categorías propuestas, para finalmente, mediante Matrices de Priorización, toda la información recolectada se organice en matrices de priorización de necesidades. El resultado de esta triangulación no es solo un resumen, sino la base para proponer un "nuevo paradigma ". Este nuevo marco </w:t>
      </w:r>
      <w:r w:rsidRPr="00984829">
        <w:rPr>
          <w:rFonts w:asciiTheme="majorHAnsi" w:hAnsiTheme="majorHAnsi" w:cstheme="majorHAnsi"/>
        </w:rPr>
        <w:lastRenderedPageBreak/>
        <w:t>debe armonizar la eficiencia técnica y fiscal (extraída del análisis de leyes) con la justicia procedimental y el reconocimiento étnico y de género (extraído de los diálogos), asegurando que la transición energética sea soberana y, sobre todo, justa.</w:t>
      </w:r>
    </w:p>
    <w:p w14:paraId="796951B9" w14:textId="77777777" w:rsidR="008B3252" w:rsidRPr="00984829" w:rsidRDefault="008B3252" w:rsidP="00A86834">
      <w:pPr>
        <w:pStyle w:val="Ttulo1"/>
      </w:pPr>
      <w:bookmarkStart w:id="50" w:name="_Toc234942029"/>
      <w:bookmarkStart w:id="51" w:name="_Toc235107942"/>
      <w:r w:rsidRPr="00984829">
        <w:t>Capítulo 1. Normas, prácticas y políticas necesarias para implementar las TEJ en el sector de Hidrocarburos.</w:t>
      </w:r>
      <w:bookmarkEnd w:id="50"/>
      <w:bookmarkEnd w:id="51"/>
    </w:p>
    <w:p w14:paraId="58711181"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El presente capitulo, presenta la recopilar y análisis de información estratégica sobre las normas, prácticas y políticas necesarias para implementar la TEJ en el sector de Hidrocarburos, que permita identificar brechas o ausencias regulatorias en el sector y oportunidades de mejora; lo anterior, de acuerdo al primer objetivo específico trazado.</w:t>
      </w:r>
    </w:p>
    <w:p w14:paraId="04B95FE7"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Para ello, se realiza una comparación estructurada de marcos regulatorios e institucionales, enfocado en Colombia y en países que avanzan en la transición energética, estructurada en tres dimensiones: </w:t>
      </w:r>
    </w:p>
    <w:p w14:paraId="56A0D2D2" w14:textId="77777777" w:rsidR="008B3252" w:rsidRPr="00984829" w:rsidRDefault="008B3252" w:rsidP="00721806">
      <w:pPr>
        <w:pStyle w:val="Prrafodelista"/>
        <w:numPr>
          <w:ilvl w:val="0"/>
          <w:numId w:val="42"/>
        </w:numPr>
        <w:spacing w:before="240"/>
        <w:jc w:val="both"/>
        <w:rPr>
          <w:rFonts w:asciiTheme="majorHAnsi" w:hAnsiTheme="majorHAnsi" w:cstheme="majorHAnsi"/>
        </w:rPr>
      </w:pPr>
      <w:r w:rsidRPr="00984829">
        <w:rPr>
          <w:rFonts w:asciiTheme="majorHAnsi" w:hAnsiTheme="majorHAnsi" w:cstheme="majorHAnsi"/>
        </w:rPr>
        <w:t xml:space="preserve">Arquitectura institucional del sector minero energético </w:t>
      </w:r>
    </w:p>
    <w:p w14:paraId="72C49B14" w14:textId="77777777" w:rsidR="008B3252" w:rsidRPr="00984829" w:rsidRDefault="008B3252" w:rsidP="00721806">
      <w:pPr>
        <w:pStyle w:val="Prrafodelista"/>
        <w:numPr>
          <w:ilvl w:val="0"/>
          <w:numId w:val="42"/>
        </w:numPr>
        <w:spacing w:before="240"/>
        <w:jc w:val="both"/>
        <w:rPr>
          <w:rFonts w:asciiTheme="majorHAnsi" w:hAnsiTheme="majorHAnsi" w:cstheme="majorHAnsi"/>
        </w:rPr>
      </w:pPr>
      <w:r w:rsidRPr="00984829">
        <w:rPr>
          <w:rFonts w:asciiTheme="majorHAnsi" w:hAnsiTheme="majorHAnsi" w:cstheme="majorHAnsi"/>
        </w:rPr>
        <w:t xml:space="preserve">Políticas públicas (económicas, sociales y medioambientales) de fomento a la transición energética </w:t>
      </w:r>
    </w:p>
    <w:p w14:paraId="7B7E3178" w14:textId="77777777" w:rsidR="008B3252" w:rsidRPr="00984829" w:rsidRDefault="008B3252" w:rsidP="00721806">
      <w:pPr>
        <w:pStyle w:val="Prrafodelista"/>
        <w:numPr>
          <w:ilvl w:val="0"/>
          <w:numId w:val="42"/>
        </w:numPr>
        <w:spacing w:before="240"/>
        <w:jc w:val="both"/>
        <w:rPr>
          <w:rFonts w:asciiTheme="majorHAnsi" w:hAnsiTheme="majorHAnsi" w:cstheme="majorHAnsi"/>
        </w:rPr>
      </w:pPr>
      <w:r w:rsidRPr="00984829">
        <w:rPr>
          <w:rFonts w:asciiTheme="majorHAnsi" w:hAnsiTheme="majorHAnsi" w:cstheme="majorHAnsi"/>
        </w:rPr>
        <w:t xml:space="preserve">Políticas fiscales para la transición </w:t>
      </w:r>
    </w:p>
    <w:p w14:paraId="333CB551"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Este ejercicio identifica brechas o ausencias regulatorias en el sector minero energético colombiano y oportunidades de mejora a partir de la evidencia comparada y de los estándares internacionalmente. Teniendo en cuenta lo anterior, se prioriza el análisis de dos países, México y China </w:t>
      </w:r>
    </w:p>
    <w:p w14:paraId="3B04AD7B" w14:textId="77777777" w:rsidR="008B3252" w:rsidRPr="00984829" w:rsidRDefault="008B3252" w:rsidP="00721806">
      <w:pPr>
        <w:pStyle w:val="Ttulo2"/>
        <w:numPr>
          <w:ilvl w:val="1"/>
          <w:numId w:val="45"/>
        </w:numPr>
        <w:tabs>
          <w:tab w:val="num" w:pos="1440"/>
        </w:tabs>
        <w:ind w:left="1440"/>
        <w:rPr>
          <w:rFonts w:asciiTheme="majorHAnsi" w:hAnsiTheme="majorHAnsi" w:cstheme="majorHAnsi"/>
          <w:color w:val="D49E21"/>
          <w:sz w:val="22"/>
          <w:szCs w:val="22"/>
        </w:rPr>
      </w:pPr>
      <w:bookmarkStart w:id="52" w:name="_Toc234942030"/>
      <w:bookmarkStart w:id="53" w:name="_Toc235107943"/>
      <w:r w:rsidRPr="00984829">
        <w:rPr>
          <w:rFonts w:asciiTheme="majorHAnsi" w:hAnsiTheme="majorHAnsi" w:cstheme="majorHAnsi"/>
          <w:color w:val="D49E21"/>
          <w:sz w:val="22"/>
          <w:szCs w:val="22"/>
        </w:rPr>
        <w:t>México: Ley del Sector de Hidrocarburos como estrategia para mantener la eficiencia en el sector y fomentar la soberanía energética.</w:t>
      </w:r>
      <w:bookmarkEnd w:id="52"/>
      <w:bookmarkEnd w:id="53"/>
      <w:r w:rsidRPr="00984829">
        <w:rPr>
          <w:rFonts w:asciiTheme="majorHAnsi" w:hAnsiTheme="majorHAnsi" w:cstheme="majorHAnsi"/>
          <w:color w:val="D49E21"/>
          <w:sz w:val="22"/>
          <w:szCs w:val="22"/>
        </w:rPr>
        <w:t xml:space="preserve"> </w:t>
      </w:r>
    </w:p>
    <w:p w14:paraId="3D802558"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Examinando el estado actual de la transición energética justa (TEJ) en el sector de hidrocarburos, se reconoce un nuevo marco normativo para México, publicado en marzo de 2025. Sintetizada en la nueva Ley del Sector Hidrocarburos, la Ley de Planeación y Transición Energética y documentos de análisis contextual para evaluar la arquitectura institucional, las políticas públicas y las políticas fiscales que </w:t>
      </w:r>
      <w:r w:rsidRPr="00984829">
        <w:rPr>
          <w:rFonts w:asciiTheme="majorHAnsi" w:hAnsiTheme="majorHAnsi" w:cstheme="majorHAnsi"/>
        </w:rPr>
        <w:lastRenderedPageBreak/>
        <w:t>configuran este proceso. El presente análisis se enfoca en el doble objetivo de, mantener la eficiencia en la explotación de hidrocarburos y, simultáneamente, fomentar nuevas fuentes de energía para garantizar la soberanía energética nacional.</w:t>
      </w:r>
    </w:p>
    <w:p w14:paraId="78257CC1"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La reforma energética de 2025 redefine la estructura institucional del sector energético mexicano, consolidando un modelo centrado en el Estado que busca equilibrar la soberanía nacional con la necesidad de una transición hacia energías más limpias. Esta nueva arquitectura se aleja del modelo de mercado liberalizado de la década anterior para fortalecer a las empresas públicas y centralizar la planeación.</w:t>
      </w:r>
    </w:p>
    <w:p w14:paraId="512FE582"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La nueva legislación establece una jerarquía clara donde la Secretaría de Energía (SENER) asume un rol prioritario. Conforme a la Ley de Planeación y Transición Energética y la Ley del Sector Hidrocarburos, la SENER es la encargada de la planeación vinculante del sector, asegurando que todas las actividades contribuyan a los objetivos de soberanía, seguridad y justicia energética (Art. 8, Ley del Sector Hidrocarburos). Sus facultades incluyen el otorgamiento de Asignaciones a Petróleos Mexicanos (PEMEX), la administración de contratos de exploración y extracción, y la gestión de la información estratégica del sector a través de plataformas electrónicas.</w:t>
      </w:r>
    </w:p>
    <w:p w14:paraId="35848D8F"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Igualmente, se crea la Comisión Nacional de Energía (CNE), un órgano desconcentrado de la SENER que absorbe facultades de la extinta Comisión Reguladora de Energía (CRE). La CNE se encarga de la regulación técnica y económica de las actividades de tratamiento, procesamiento, transporte, almacenamiento, distribución y expendio al público de hidrocarburos, petrolíferos y petroquímicos, así como de la regulación tarifaria (Art. 76, Ley del Sector Hidrocarburos). Esta reconfiguración centraliza el poder regulatorio, alineándose con las directrices de la política energética dictada por el Ejecutivo a través de la SENER.</w:t>
      </w:r>
    </w:p>
    <w:p w14:paraId="39377EEA"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La naturaleza jurídica de PEMEX se transforma de "Empresa Productiva del Estado" a "Empresa Pública del Estado", un cambio que, según el análisis de Lozano Maya (2022), prioriza el servicio a la sociedad y la cobertura de necesidades públicas sobre la maximización de ganancias. Este reenfoque se materializa en la Ley del Sector Hidrocarburos, que otorga a PEMEX un derecho de prelación para las actividades de exploración y extracción a través de dos modalidades de Asignaciones: para Desarrollo Propio y para Desarrollo Mixto (Art. 10 y 11). Finalmente, destaca que, la participación de actores privados queda </w:t>
      </w:r>
      <w:r w:rsidRPr="00984829">
        <w:rPr>
          <w:rFonts w:asciiTheme="majorHAnsi" w:hAnsiTheme="majorHAnsi" w:cstheme="majorHAnsi"/>
        </w:rPr>
        <w:lastRenderedPageBreak/>
        <w:t>subordinada a la capacidad o interés de PEMEX, ya sea como socios en "Contratos Mixtos" o, de manera excepcional, a través de licitaciones para "Contratos para la Exploración y Extracción".</w:t>
      </w:r>
    </w:p>
    <w:p w14:paraId="210CBA4A"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Esta estructura institucional busca recuperar el control estatal sobre los recursos estratégicos, un pilar que se prioriza en el marco de la soberanía energética que ha caracterizado a la administración actual. Sin embargo, como advierte el diagnóstico colombiano sobre la TEJ, los modelos centralizados y verticales pueden generar conflictos socioambientales si no se acompañan de mecanismos robustos de participación ciudadana y justicia procedimental (Diagnóstico base para la TEJ, 2023).</w:t>
      </w:r>
    </w:p>
    <w:p w14:paraId="00537637"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Igualmente, se incorporar otras entidades clave; la Agencia Nacional de Seguridad Industrial y de Protección al Medio Ambiente del Sector Hidrocarburos (ASEA) mantiene su rol como autoridad máxima en la regulación y supervisión de la seguridad industrial y la protección ambiental. Por su parte, el Centro Nacional de Control del Gas Natural (CENAGAS) continúa como gestor del sistema nacional de ductos, un actor fundamental para la seguridad del suministro de gas, considerado un combustible de transición.</w:t>
      </w:r>
    </w:p>
    <w:p w14:paraId="1CEABA7B"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El marco normativo de 2025 articula una visión de transición energética que, si bien promueve las energías limpias, lo hace bajo el paraguas de la soberanía y la justicia energética, otorgando un rol central a los hidrocarburos como garantes de la estabilidad y el desarrollo nacional a corto y mediano plazo.</w:t>
      </w:r>
    </w:p>
    <w:p w14:paraId="7400B163"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La política de hidrocarburos se centra en fortalecer la capacidad operativa y financiera de PEMEX para maximizar la producción nacional y reducir la dependencia de las importaciones. La prioridad otorgada a PEMEX mediante las Asignaciones busca asegurar que la renta petrolera beneficie directamente al Estado. La eficiencia se promueve a través de la obligación de presentar planes de exploración y desarrollo que maximicen el factor de recuperación de los yacimientos (Art. 72, Ley del Sector Hidrocarburos). La figura del Contrato Mixto (Art. 24) permite a PEMEX asociarse con privados para complementar sus capacidades técnicas y financieras, buscando un equilibrio entre control estatal y pragmatismo operativo.</w:t>
      </w:r>
    </w:p>
    <w:p w14:paraId="59A20DBD"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La Ley de Planeación y Transición Energética es el instrumento rector que define la ruta hacia un sistema energético más sostenible. Introduce de manera explícita el concepto de Justicia Energética, definido como el conjunto de acciones para reducir la pobreza energética, las desigualdades sociales y de género en el uso de la energía, y promover el desarrollo regional (Art. 3, Ley de Planeación). Este enfoque resuena </w:t>
      </w:r>
      <w:r w:rsidRPr="00984829">
        <w:rPr>
          <w:rFonts w:asciiTheme="majorHAnsi" w:hAnsiTheme="majorHAnsi" w:cstheme="majorHAnsi"/>
        </w:rPr>
        <w:lastRenderedPageBreak/>
        <w:t>con los pilares de la TEJ en Colombia, identificados en el contexto internacional, que incluyen la justicia distributiva, de reconocimiento y procedimental (Diagnóstico base para la TEJ, 2023).</w:t>
      </w:r>
    </w:p>
    <w:p w14:paraId="38F5DF5B" w14:textId="77777777" w:rsidR="008B3252" w:rsidRPr="00984829" w:rsidRDefault="008B3252" w:rsidP="00984829">
      <w:pPr>
        <w:spacing w:before="240"/>
        <w:ind w:firstLine="720"/>
        <w:jc w:val="both"/>
        <w:rPr>
          <w:rFonts w:asciiTheme="majorHAnsi" w:hAnsiTheme="majorHAnsi" w:cstheme="majorHAnsi"/>
        </w:rPr>
      </w:pPr>
      <w:r w:rsidRPr="00984829">
        <w:rPr>
          <w:rFonts w:asciiTheme="majorHAnsi" w:hAnsiTheme="majorHAnsi" w:cstheme="majorHAnsi"/>
        </w:rPr>
        <w:t>Para materializar estos objetivos, la ley crea dos instrumentos financieros clave:</w:t>
      </w:r>
    </w:p>
    <w:p w14:paraId="4B867BC7" w14:textId="77777777" w:rsidR="008B3252" w:rsidRPr="00984829" w:rsidRDefault="008B3252" w:rsidP="00721806">
      <w:pPr>
        <w:pStyle w:val="Prrafodelista"/>
        <w:numPr>
          <w:ilvl w:val="0"/>
          <w:numId w:val="44"/>
        </w:numPr>
        <w:spacing w:before="240"/>
        <w:jc w:val="both"/>
        <w:rPr>
          <w:rFonts w:asciiTheme="majorHAnsi" w:hAnsiTheme="majorHAnsi" w:cstheme="majorHAnsi"/>
        </w:rPr>
      </w:pPr>
      <w:r w:rsidRPr="00984829">
        <w:rPr>
          <w:rFonts w:asciiTheme="majorHAnsi" w:hAnsiTheme="majorHAnsi" w:cstheme="majorHAnsi"/>
        </w:rPr>
        <w:t>El Fondo para la Transición Energética y el Aprovechamiento Sustentable de la Energía, destinado a financiar proyectos de eficiencia energética, tecnologías limpias y energías renovables (Art. 43, Ley de Planeación).</w:t>
      </w:r>
    </w:p>
    <w:p w14:paraId="01475358" w14:textId="77777777" w:rsidR="008B3252" w:rsidRPr="00984829" w:rsidRDefault="008B3252" w:rsidP="00721806">
      <w:pPr>
        <w:pStyle w:val="Prrafodelista"/>
        <w:numPr>
          <w:ilvl w:val="0"/>
          <w:numId w:val="43"/>
        </w:numPr>
        <w:spacing w:before="240"/>
        <w:jc w:val="both"/>
        <w:rPr>
          <w:rFonts w:asciiTheme="majorHAnsi" w:hAnsiTheme="majorHAnsi" w:cstheme="majorHAnsi"/>
        </w:rPr>
      </w:pPr>
      <w:r w:rsidRPr="00984829">
        <w:rPr>
          <w:rFonts w:asciiTheme="majorHAnsi" w:hAnsiTheme="majorHAnsi" w:cstheme="majorHAnsi"/>
        </w:rPr>
        <w:t>El Fondo de Servicio Universal Energético, enfocado en financiar la cobertura eléctrica en comunidades sin acceso y acciones para reducir la pobreza energética (Art. 49, Ley de Planeación).</w:t>
      </w:r>
    </w:p>
    <w:p w14:paraId="2855067A"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Estas políticas buscan asegurar que los beneficios de la transición no se concentren en ciertos sectores, sino que contribuyan a cerrar brechas sociales históricas, un desafío central para evitar el "</w:t>
      </w:r>
      <w:proofErr w:type="spellStart"/>
      <w:r w:rsidRPr="00984829">
        <w:rPr>
          <w:rFonts w:asciiTheme="majorHAnsi" w:hAnsiTheme="majorHAnsi" w:cstheme="majorHAnsi"/>
        </w:rPr>
        <w:t>extractivismo</w:t>
      </w:r>
      <w:proofErr w:type="spellEnd"/>
      <w:r w:rsidRPr="00984829">
        <w:rPr>
          <w:rFonts w:asciiTheme="majorHAnsi" w:hAnsiTheme="majorHAnsi" w:cstheme="majorHAnsi"/>
        </w:rPr>
        <w:t xml:space="preserve"> verde", el cual se comparte con las apuestas colombianas. (Diagnóstico base para la TEJ, 2023).</w:t>
      </w:r>
    </w:p>
    <w:p w14:paraId="60E62FF1"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Además, se establece la realización de consultas previas, libres e informadas con pueblos y comunidades indígenas y </w:t>
      </w:r>
      <w:proofErr w:type="spellStart"/>
      <w:r w:rsidRPr="00984829">
        <w:rPr>
          <w:rFonts w:asciiTheme="majorHAnsi" w:hAnsiTheme="majorHAnsi" w:cstheme="majorHAnsi"/>
        </w:rPr>
        <w:t>afromexicanas</w:t>
      </w:r>
      <w:proofErr w:type="spellEnd"/>
      <w:r w:rsidRPr="00984829">
        <w:rPr>
          <w:rFonts w:asciiTheme="majorHAnsi" w:hAnsiTheme="majorHAnsi" w:cstheme="majorHAnsi"/>
        </w:rPr>
        <w:t xml:space="preserve"> (Art. 151), atendiendo a los estándares internacionales y a las críticas sobre la falta de participación vinculante en modelos extractivistas. En el ámbito ambiental, se prohíbe la exploración y extracción en Áreas Naturales Protegidas y se faculta al Ejecutivo para establecer Zonas de Salvaguarda donde se prohíban estas actividades (Art. 69), reforzando el principio de desarrollo sustentable.</w:t>
      </w:r>
    </w:p>
    <w:p w14:paraId="79CA09AD"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Finalmente, se introducen cambios sustanciales en el régimen fiscal del sector hidrocarburos, diseñados para fortalecer las finanzas de PEMEX y, al mismo tiempo, generar recursos para financiar la transición y el bienestar social.</w:t>
      </w:r>
    </w:p>
    <w:p w14:paraId="56E22131"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La innovación fiscal más destacada es la creación del "Derecho Petrolero para el Bienestar". Este nuevo esquema sustituye los derechos de exploración, extracción y utilidad compartida por una tasa única y simplificada. Este cambio busca reducir la carga fiscal sobre PEMEX, permitiéndole una mayor reinversión en sus operaciones y en proyectos de transición, alineándose con el objetivo de eficiencia y soberanía.</w:t>
      </w:r>
    </w:p>
    <w:p w14:paraId="3C202BA5"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lastRenderedPageBreak/>
        <w:t>La Ley del Sector Hidrocarburos establece una clara prelación en el uso de los ingresos de los proyectos: primero se cubren las obligaciones fiscales, luego la recuperación de costos y finalmente se reparte la utilidad (Art. 30). Este mecanismo asegura que el Estado reciba su parte antes de que los operadores recuperen su inversión, fortaleciendo la posición fiscal del gobierno.</w:t>
      </w:r>
    </w:p>
    <w:p w14:paraId="3937206C"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Adicionalmente, la Ley de Planeación y Transición Energética faculta a la SENER para proponer estímulos fiscales y financieros que promuevan la inversión en eficiencia energética y energías limpias (Art. 8, XVIII). Los fondos creados por esta ley se nutrirán de asignaciones presupuestales, donativos y, crucialmente, de las multas y sanciones impuestas en el sector, creando un ciclo en el que el incumplimiento normativo financia la corrección y el avance hacia un sistema más justo y sostenible.</w:t>
      </w:r>
    </w:p>
    <w:p w14:paraId="12E3B404"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Finalmente, se impone una responsabilidad solidaria a los importadores de combustibles en la cadena de valor, una medida fiscal y regulatoria que busca fortalecer la trazabilidad y combatir el mercado ilícito, asegurando que todos los actores contribuyan fiscalmente y cumplan con la normativa.</w:t>
      </w:r>
    </w:p>
    <w:p w14:paraId="447DBCB1"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En conjunto, este nuevo paradigma legal configura un sendero de transición energética que no abandona los hidrocarburos, sino que los reposiciona como un pilar para financiar y estabilizar un cambio gradual y ordenado hacia un sistema energético más limpio, soberano y, fundamentalmente, más justo para la sociedad mexicana.</w:t>
      </w:r>
    </w:p>
    <w:p w14:paraId="26BCB7D5" w14:textId="77777777" w:rsidR="008B3252" w:rsidRPr="00984829" w:rsidRDefault="008B3252" w:rsidP="00721806">
      <w:pPr>
        <w:pStyle w:val="Ttulo2"/>
        <w:numPr>
          <w:ilvl w:val="1"/>
          <w:numId w:val="45"/>
        </w:numPr>
        <w:tabs>
          <w:tab w:val="num" w:pos="1440"/>
        </w:tabs>
        <w:ind w:left="1440"/>
        <w:rPr>
          <w:rFonts w:asciiTheme="majorHAnsi" w:hAnsiTheme="majorHAnsi" w:cstheme="majorHAnsi"/>
          <w:color w:val="D49E21"/>
          <w:sz w:val="22"/>
          <w:szCs w:val="22"/>
        </w:rPr>
      </w:pPr>
      <w:r w:rsidRPr="00984829">
        <w:rPr>
          <w:rFonts w:asciiTheme="majorHAnsi" w:hAnsiTheme="majorHAnsi" w:cstheme="majorHAnsi"/>
          <w:color w:val="D49E21"/>
          <w:sz w:val="22"/>
          <w:szCs w:val="22"/>
        </w:rPr>
        <w:t xml:space="preserve"> </w:t>
      </w:r>
      <w:bookmarkStart w:id="54" w:name="_Toc234942031"/>
      <w:bookmarkStart w:id="55" w:name="_Toc235107944"/>
      <w:r w:rsidRPr="00984829">
        <w:rPr>
          <w:rFonts w:asciiTheme="majorHAnsi" w:hAnsiTheme="majorHAnsi" w:cstheme="majorHAnsi"/>
          <w:color w:val="D49E21"/>
          <w:sz w:val="22"/>
          <w:szCs w:val="22"/>
        </w:rPr>
        <w:t>China: La nueva estrategia de seguridad energética y la modernización de la gobernanza energética</w:t>
      </w:r>
      <w:bookmarkEnd w:id="54"/>
      <w:bookmarkEnd w:id="55"/>
    </w:p>
    <w:p w14:paraId="30E51E94"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Durante muchos años, China ha estado presente de manera permanente en los debates internacionales sobre la protección del medio ambiente y el clima. Su rápido desarrollo económico provocó un deterioro masivo de las condiciones ambientales y, a causa de las altas emisiones. Los índices ambientales internacionales demuestran el enorme alcance del deterioro del medio ambiente en China. Sin embargo, el estrés ambiental no es un fenómeno nuevo en este país. Además de los problemas provocados por el hombre, las difíciles circunstancias ecológicas suponen un reto fundamental.</w:t>
      </w:r>
    </w:p>
    <w:p w14:paraId="60D2D015"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Las tierras arables de China siempre han tenido una relación negativa con el tamaño de su población. Sólo es cultivable en torno al 12,5% del territorio, y en las últimas décadas muchas tierras agrícolas se han </w:t>
      </w:r>
      <w:r w:rsidRPr="00984829">
        <w:rPr>
          <w:rFonts w:asciiTheme="majorHAnsi" w:hAnsiTheme="majorHAnsi" w:cstheme="majorHAnsi"/>
        </w:rPr>
        <w:lastRenderedPageBreak/>
        <w:t>perdido a causa de la urbanización y la industrialización. Otro problema es la disponibilidad de agua: hoy el 6% de las reservas mundiales de agua dulce tienen que suministrar casi el 20% de la población mundial. Los recursos hídricos también se distribuyen de manera desigual de norte a sur, de manera que el sur se caracteriza por disfrutar de abundancia de agua, mientras que el norte sufre de aridez y sequías recurrentes.</w:t>
      </w:r>
    </w:p>
    <w:p w14:paraId="128597F0"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Por lo anterior, en los últimos diez años, bajo la guía de la nueva estrategia de seguridad energética, China ha profundizado aún más la reforma de los métodos de producción y consumo de energía, con el fin de mejorar la capacidad de suministro de energía y realizar avances en el desarrollo de energía verde y baja en carbono. </w:t>
      </w:r>
    </w:p>
    <w:p w14:paraId="2A2291A7"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El desarrollo de alta calidad en el sector energético chino requiere un esfuerzo significativo para modernizar la gobernanza energética y establecer una nueva dinámica de producción de energía en paralelo con este esfuerzo. Mediante reformas más profundas, políticas mejoradas, planes estratégicos y el Estado de derecho como garantía, China ha podido aprovechar plenamente el papel decisivo del mercado en la asignación de recursos, al tiempo que garantiza que el gobierno cumpla mejor su función. Esto ha creado un entorno propicio para la transición hacia energías verdes y bajas en carbono.</w:t>
      </w:r>
    </w:p>
    <w:p w14:paraId="0B3A87BE" w14:textId="77777777" w:rsidR="008B3252" w:rsidRPr="00984829" w:rsidRDefault="008B3252" w:rsidP="00721806">
      <w:pPr>
        <w:pStyle w:val="Prrafodelista"/>
        <w:numPr>
          <w:ilvl w:val="2"/>
          <w:numId w:val="45"/>
        </w:numPr>
        <w:spacing w:before="240"/>
        <w:outlineLvl w:val="2"/>
        <w:rPr>
          <w:rFonts w:asciiTheme="majorHAnsi" w:hAnsiTheme="majorHAnsi" w:cstheme="majorHAnsi"/>
          <w:b/>
          <w:bCs/>
        </w:rPr>
      </w:pPr>
      <w:bookmarkStart w:id="56" w:name="_Toc234942032"/>
      <w:bookmarkStart w:id="57" w:name="_Toc235107945"/>
      <w:r w:rsidRPr="00984829">
        <w:rPr>
          <w:rFonts w:asciiTheme="majorHAnsi" w:hAnsiTheme="majorHAnsi" w:cstheme="majorHAnsi"/>
          <w:b/>
          <w:bCs/>
          <w:color w:val="D49E21"/>
        </w:rPr>
        <w:t>Construir un mercado energético justo y abierto con competencia efectiva. </w:t>
      </w:r>
      <w:bookmarkEnd w:id="56"/>
      <w:bookmarkEnd w:id="57"/>
    </w:p>
    <w:p w14:paraId="5F762FDB"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China ha impulsado reformas orientadas al mercado en el sector energético, ha acelerado el desarrollo de una estructura y un sistema de mercado que permiten una competencia efectiva, y ha mejorado el mecanismo para que los precios de la energía se determinen principalmente mediante las fuerzas del mercado. El país también se ha centrado en la creación de un mercado nacional unificado, la eliminación de barreras en el mercado energético y la facilitación de operaciones de mercado fluidas y eficientes. Estos esfuerzos están diseñados para crear un entorno empresarial propicio que sea estable, justo, transparente y predecible.</w:t>
      </w:r>
    </w:p>
    <w:p w14:paraId="5416C85D"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Se está impulsando una reforma orientada al mercado en el sector energético. El monopolio que ostentaban las empresas de redes eléctricas en la compraventa de electricidad se ha eliminado en gran medida, y se ha introducido la competencia de mercado en la generación y venta de energía. La inversión </w:t>
      </w:r>
      <w:r w:rsidRPr="00984829">
        <w:rPr>
          <w:rFonts w:asciiTheme="majorHAnsi" w:hAnsiTheme="majorHAnsi" w:cstheme="majorHAnsi"/>
        </w:rPr>
        <w:lastRenderedPageBreak/>
        <w:t>privada ahora es bienvenida en la distribución de energía, y como resultado, nuevas entidades de mercado están prosperando en el sector energético, incluyendo proveedores de servicios energéticos integrados, centrales eléctricas virtuales y empresas de almacenamiento de energía. Las empresas privadas se han convertido en la fuerza principal del sector de energías renovables en China, representando cerca del 60 por ciento de todos los fabricantes de turbinas eólicas y casi todos los fabricantes de equipos fotovoltaicos. La reforma de las instituciones de petróleo y gas está progresando. Se ha establecido una corporación nacional de redes de oleoductos y gasoductos, creando gradualmente un entorno donde el petróleo y el gas son suministrados por múltiples entidades a través de diversos canales, transportados a través de una red unificada y altamente eficiente de oleoductos y gasoductos, y vendidos en un mercado totalmente competitivo.</w:t>
      </w:r>
    </w:p>
    <w:p w14:paraId="09116F88" w14:textId="77777777" w:rsidR="008B3252" w:rsidRPr="00984829" w:rsidRDefault="008B3252" w:rsidP="00721806">
      <w:pPr>
        <w:pStyle w:val="Prrafodelista"/>
        <w:numPr>
          <w:ilvl w:val="2"/>
          <w:numId w:val="45"/>
        </w:numPr>
        <w:spacing w:before="240"/>
        <w:outlineLvl w:val="2"/>
        <w:rPr>
          <w:rFonts w:asciiTheme="majorHAnsi" w:hAnsiTheme="majorHAnsi" w:cstheme="majorHAnsi"/>
          <w:b/>
          <w:bCs/>
          <w:color w:val="D49E21"/>
        </w:rPr>
      </w:pPr>
      <w:bookmarkStart w:id="58" w:name="_Toc234942033"/>
      <w:bookmarkStart w:id="59" w:name="_Toc235107946"/>
      <w:r w:rsidRPr="00984829">
        <w:rPr>
          <w:rFonts w:asciiTheme="majorHAnsi" w:hAnsiTheme="majorHAnsi" w:cstheme="majorHAnsi"/>
          <w:b/>
          <w:bCs/>
          <w:color w:val="D49E21"/>
        </w:rPr>
        <w:t>Desarrollo de un mercado energético nacional unificado.</w:t>
      </w:r>
      <w:bookmarkEnd w:id="58"/>
      <w:bookmarkEnd w:id="59"/>
      <w:r w:rsidRPr="00984829">
        <w:rPr>
          <w:rFonts w:asciiTheme="majorHAnsi" w:hAnsiTheme="majorHAnsi" w:cstheme="majorHAnsi"/>
          <w:b/>
          <w:bCs/>
          <w:color w:val="D49E21"/>
        </w:rPr>
        <w:t xml:space="preserve"> </w:t>
      </w:r>
    </w:p>
    <w:p w14:paraId="7CF05C6A"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China ha acelerado el progreso hacia un sistema unificado de mercado eléctrico nacional que coordina eficientemente el comercio dentro y entre provincias y regiones, e integra el comercio a mediano y largo plazo, el comercio al contado y el comercio de servicios auxiliares. Se han establecido centros de comercio de electricidad, petróleo, gas y carbón para crear plataformas de comercio de energía abiertas y transparentes con funciones completas. La participación de la electricidad comercializada en el mercado como parte del consumo total de electricidad del país aumentó del 17 por ciento en 2016 al 61,4 por ciento en 2023. La participación de la energía eólica y fotovoltaica comercializada en el mercado representó el 47 por ciento de la generación total de energía eólica y fotovoltaica en 2023. Estos avances han contribuido a una mejor asignación de electricidad y a una utilización más eficiente de la energía renovable.</w:t>
      </w:r>
    </w:p>
    <w:p w14:paraId="2C164E90"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La Ley de Energía de China de 2025, que entró en vigor el 1 de enero de 2025, es una legislación integral diseñada para promover el desarrollo de energías renovables, mejorar la seguridad energética e impulsar la transición energética del país. Esta política histórica es fundamental para alcanzar los objetivos de neutralidad de carbono de China y equilibrar la dependencia de los combustibles fósiles con fuentes de energía no fósiles. Se espera que este marco normativo defina las futuras políticas del mayor productor y consumidor de energía del mundo. </w:t>
      </w:r>
    </w:p>
    <w:p w14:paraId="6ED0AE1F"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lastRenderedPageBreak/>
        <w:t xml:space="preserve">La apuesta de China por la transición energética se ha configurado como un proceso de transformación nacional profundamente dirigido por el Estado, donde la transición no se vive como una carga fiscal o una imposición externa, sino como el pilar central de su soberanía tecnológica y liderazgo económico futuro. A diferencia de modelos más descentralizados, China ha erigido una arquitectura institucional de mando y control que tiene como cerebro a la Comisión Nacional de Desarrollo y Reforma (NDRC). Este organismo no actúa como un simple regulador, sino como el gran planificador que fusiona la política energética con la estrategia macroeconómica del país a través de los Planes Quinquenales. </w:t>
      </w:r>
    </w:p>
    <w:p w14:paraId="56B4C3DC"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Bajo la dirección de la NDRC, la Administración Nacional de Energía (NEA) operativiza las metas técnicas, pero el verdadero diferencial radica en el papel de las Empresas Propiedad del Estado (</w:t>
      </w:r>
      <w:proofErr w:type="spellStart"/>
      <w:r w:rsidRPr="00984829">
        <w:rPr>
          <w:rFonts w:asciiTheme="majorHAnsi" w:hAnsiTheme="majorHAnsi" w:cstheme="majorHAnsi"/>
        </w:rPr>
        <w:t>SOEs</w:t>
      </w:r>
      <w:proofErr w:type="spellEnd"/>
      <w:r w:rsidRPr="00984829">
        <w:rPr>
          <w:rFonts w:asciiTheme="majorHAnsi" w:hAnsiTheme="majorHAnsi" w:cstheme="majorHAnsi"/>
        </w:rPr>
        <w:t>). En este esquema, gigantes de la energía y los hidrocarburos no operan únicamente bajo una lógica de rentabilidad comercial, sino que actúan como brazos ejecutores del gobierno, obligados a liderar la inversión en infraestructura renovable e hidrógeno verde para garantizar que la transición sea un proceso ordenado y alineado con los objetivos de seguridad nacional.</w:t>
      </w:r>
    </w:p>
    <w:p w14:paraId="6FCABEA3"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Este andamiaje institucional permite el despliegue de políticas públicas integrales que conectan las dimensiones económicas, sociales y ambientales bajo el concepto de "Civilización Ecológica". En el ámbito económico, la estrategia se articula en torno a las metas de "Carbono Dual" (alcanzar el pico de emisiones en 2030 y la neutralidad en 2060), lo que ha impulsado a China a dominar toda la cadena de valor de las tecnologías limpias, desde la extracción de minerales críticos hasta la fabricación de paneles y baterías. Desde una perspectiva social, el Estado chino aborda las tensiones de la transición mediante intervenciones directas en las regiones dependientes del carbón, implementando programas masivos de reubicación laboral, jubilaciones anticipadas y la creación de nuevos polos industriales para absorber la mano de obra desplazada, buscando evitar el colapso social que el cierre de la economía fósil podría provocar. Ambientalmente, la transición se legitima ante la ciudadanía no solo como un compromiso climático global, sino como una urgencia de salud pública interna, vinculando la reducción de combustibles fósiles con la mejora inmediata de la calidad del aire en las grandes metrópolis.</w:t>
      </w:r>
    </w:p>
    <w:p w14:paraId="50006CBF"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Finalmente, este modelo se sostiene sobre una política fiscal estratégica que ha evolucionado de un sistema de subsidios masivos a una sofisticada estructura de incentivos de mercado y finanzas verdes. En una primera etapa, el fisco chino financió agresivamente la oferta tecnológica para permitir que sus </w:t>
      </w:r>
      <w:r w:rsidRPr="00984829">
        <w:rPr>
          <w:rFonts w:asciiTheme="majorHAnsi" w:hAnsiTheme="majorHAnsi" w:cstheme="majorHAnsi"/>
        </w:rPr>
        <w:lastRenderedPageBreak/>
        <w:t>industrias alcanzaran economías de escala inalcanzables para otros países. Una vez lograda la competitividad, la política fiscal giró hacia la creación del mercado de emisiones (ETS) más grande del mundo, que pone un precio al carbono y obliga a los sectores intensivos en energía a internalizar sus costos ambientales. Complementariamente, el Banco Popular de China ha liderado la integración de criterios verdes en el sistema financiero, facilitando créditos con tasas preferenciales para proyectos de transición y emitiendo bonos verdes a gran escala. De esta manera, China utiliza su músculo financiero no solo para castigar las emisiones, sino para asegurar que el capital fluya de manera constante hacia la construcción de un sistema energético soberano, limpio y, sobre todo, altamente competitivo en el mercado global.</w:t>
      </w:r>
    </w:p>
    <w:p w14:paraId="3B58CD34" w14:textId="77777777" w:rsidR="008B3252" w:rsidRPr="00984829" w:rsidRDefault="008B3252" w:rsidP="00A86834">
      <w:pPr>
        <w:pStyle w:val="Ttulo1"/>
      </w:pPr>
      <w:bookmarkStart w:id="60" w:name="_Toc234942034"/>
      <w:bookmarkStart w:id="61" w:name="_Toc235107947"/>
      <w:r w:rsidRPr="00984829">
        <w:t>Capítulo 2. Percepciones, experiencias y necesidades de los distintos actores involucrados en la TEJ</w:t>
      </w:r>
      <w:bookmarkEnd w:id="60"/>
      <w:bookmarkEnd w:id="61"/>
    </w:p>
    <w:p w14:paraId="58C51A5B"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El presente capítulo, realiza un análisis de la sistematización de la implementación de las entrevistas semiestructuradas y las respuestas de cuestionarios, con el fin de identificar las percepciones, experiencias y necesidades de los distintos actores involucrados en la TEJ con el fin de producir información útil sobre las normas, prácticas y políticas necesarias para implementarla la TEJ en el sector de Hidrocarburos, de acuerdo al segundo objetivo </w:t>
      </w:r>
      <w:r w:rsidR="008757C2" w:rsidRPr="00984829">
        <w:rPr>
          <w:rFonts w:asciiTheme="majorHAnsi" w:hAnsiTheme="majorHAnsi" w:cstheme="majorHAnsi"/>
        </w:rPr>
        <w:t>específico</w:t>
      </w:r>
      <w:r w:rsidRPr="00984829">
        <w:rPr>
          <w:rFonts w:asciiTheme="majorHAnsi" w:hAnsiTheme="majorHAnsi" w:cstheme="majorHAnsi"/>
        </w:rPr>
        <w:t xml:space="preserve"> trazado. </w:t>
      </w:r>
    </w:p>
    <w:p w14:paraId="1C91066D" w14:textId="77777777" w:rsidR="008B3252" w:rsidRPr="00984829" w:rsidRDefault="008B3252" w:rsidP="00984829">
      <w:pPr>
        <w:pStyle w:val="Prrafodelista"/>
        <w:spacing w:before="240"/>
        <w:ind w:left="360"/>
        <w:outlineLvl w:val="1"/>
        <w:rPr>
          <w:rFonts w:asciiTheme="majorHAnsi" w:hAnsiTheme="majorHAnsi" w:cstheme="majorHAnsi"/>
        </w:rPr>
      </w:pPr>
      <w:bookmarkStart w:id="62" w:name="_Toc234942035"/>
      <w:bookmarkStart w:id="63" w:name="_Toc235107948"/>
      <w:r w:rsidRPr="00984829">
        <w:rPr>
          <w:rFonts w:asciiTheme="majorHAnsi" w:hAnsiTheme="majorHAnsi" w:cstheme="majorHAnsi"/>
          <w:b/>
          <w:bCs/>
          <w:color w:val="D49E21"/>
        </w:rPr>
        <w:t>2.1.</w:t>
      </w:r>
      <w:r w:rsidRPr="00984829">
        <w:rPr>
          <w:rFonts w:asciiTheme="majorHAnsi" w:hAnsiTheme="majorHAnsi" w:cstheme="majorHAnsi"/>
          <w:color w:val="D49E21"/>
        </w:rPr>
        <w:t xml:space="preserve"> </w:t>
      </w:r>
      <w:r w:rsidRPr="00984829">
        <w:rPr>
          <w:rFonts w:asciiTheme="majorHAnsi" w:hAnsiTheme="majorHAnsi" w:cstheme="majorHAnsi"/>
          <w:b/>
          <w:bCs/>
          <w:color w:val="D49E21"/>
        </w:rPr>
        <w:t>Sector empresarial y su visión de la TEJ en el sector de hidrocarburos.</w:t>
      </w:r>
      <w:bookmarkEnd w:id="62"/>
      <w:bookmarkEnd w:id="63"/>
      <w:r w:rsidRPr="00984829">
        <w:rPr>
          <w:rFonts w:asciiTheme="majorHAnsi" w:hAnsiTheme="majorHAnsi" w:cstheme="majorHAnsi"/>
          <w:b/>
          <w:bCs/>
          <w:color w:val="D49E21"/>
        </w:rPr>
        <w:t xml:space="preserve">  </w:t>
      </w:r>
    </w:p>
    <w:p w14:paraId="02B0569F"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El análisis se basa en las respuestas al cuestionario planteado por parte de empresas del sector hidrocarburos como </w:t>
      </w:r>
      <w:proofErr w:type="spellStart"/>
      <w:r w:rsidRPr="00984829">
        <w:rPr>
          <w:rFonts w:asciiTheme="majorHAnsi" w:hAnsiTheme="majorHAnsi" w:cstheme="majorHAnsi"/>
        </w:rPr>
        <w:t>Chevron</w:t>
      </w:r>
      <w:proofErr w:type="spellEnd"/>
      <w:r w:rsidRPr="00984829">
        <w:rPr>
          <w:rFonts w:asciiTheme="majorHAnsi" w:hAnsiTheme="majorHAnsi" w:cstheme="majorHAnsi"/>
        </w:rPr>
        <w:t xml:space="preserve">, </w:t>
      </w:r>
      <w:proofErr w:type="spellStart"/>
      <w:r w:rsidRPr="00984829">
        <w:rPr>
          <w:rFonts w:asciiTheme="majorHAnsi" w:hAnsiTheme="majorHAnsi" w:cstheme="majorHAnsi"/>
        </w:rPr>
        <w:t>GeoPark</w:t>
      </w:r>
      <w:proofErr w:type="spellEnd"/>
      <w:r w:rsidRPr="00984829">
        <w:rPr>
          <w:rFonts w:asciiTheme="majorHAnsi" w:hAnsiTheme="majorHAnsi" w:cstheme="majorHAnsi"/>
        </w:rPr>
        <w:t xml:space="preserve">, </w:t>
      </w:r>
      <w:proofErr w:type="spellStart"/>
      <w:r w:rsidRPr="00984829">
        <w:rPr>
          <w:rFonts w:asciiTheme="majorHAnsi" w:hAnsiTheme="majorHAnsi" w:cstheme="majorHAnsi"/>
        </w:rPr>
        <w:t>Perenco</w:t>
      </w:r>
      <w:proofErr w:type="spellEnd"/>
      <w:r w:rsidRPr="00984829">
        <w:rPr>
          <w:rFonts w:asciiTheme="majorHAnsi" w:hAnsiTheme="majorHAnsi" w:cstheme="majorHAnsi"/>
        </w:rPr>
        <w:t xml:space="preserve"> y </w:t>
      </w:r>
      <w:proofErr w:type="spellStart"/>
      <w:r w:rsidRPr="00984829">
        <w:rPr>
          <w:rFonts w:asciiTheme="majorHAnsi" w:hAnsiTheme="majorHAnsi" w:cstheme="majorHAnsi"/>
        </w:rPr>
        <w:t>Tecpetrol</w:t>
      </w:r>
      <w:proofErr w:type="spellEnd"/>
      <w:r w:rsidRPr="00984829">
        <w:rPr>
          <w:rFonts w:asciiTheme="majorHAnsi" w:hAnsiTheme="majorHAnsi" w:cstheme="majorHAnsi"/>
        </w:rPr>
        <w:t>. Aunque existen diferencias en el nivel de desarrollo de sus estrategias de transición energética, se identifican tendencias comunes que permiten comprender la visión del sector frente a los retos institucionales, regulatorios y fiscales de la Transición Energética Justa en Colombia.</w:t>
      </w:r>
    </w:p>
    <w:p w14:paraId="41F7CF21" w14:textId="77777777" w:rsidR="008B3252" w:rsidRPr="00984829" w:rsidRDefault="008B3252" w:rsidP="00721806">
      <w:pPr>
        <w:pStyle w:val="Prrafodelista"/>
        <w:numPr>
          <w:ilvl w:val="2"/>
          <w:numId w:val="46"/>
        </w:numPr>
        <w:spacing w:before="200"/>
        <w:ind w:right="-41"/>
        <w:jc w:val="both"/>
        <w:outlineLvl w:val="2"/>
        <w:rPr>
          <w:rFonts w:asciiTheme="majorHAnsi" w:hAnsiTheme="majorHAnsi" w:cstheme="majorHAnsi"/>
          <w:color w:val="D49E21"/>
        </w:rPr>
      </w:pPr>
      <w:bookmarkStart w:id="64" w:name="_Toc234942036"/>
      <w:bookmarkStart w:id="65" w:name="_Toc235107949"/>
      <w:r w:rsidRPr="00984829">
        <w:rPr>
          <w:rFonts w:asciiTheme="majorHAnsi" w:hAnsiTheme="majorHAnsi" w:cstheme="majorHAnsi"/>
          <w:b/>
          <w:bCs/>
          <w:color w:val="D49E21"/>
        </w:rPr>
        <w:t>Arquitectura institucional del sector minero-energético</w:t>
      </w:r>
      <w:bookmarkEnd w:id="64"/>
      <w:bookmarkEnd w:id="65"/>
    </w:p>
    <w:p w14:paraId="5AD1F5C3"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Las respuestas evidencian que el sector percibe una arquitectura institucional fragmentada y con dificultades de coordinación entre las entidades encargadas de la regulación energética, ambiental y territorial.</w:t>
      </w:r>
    </w:p>
    <w:p w14:paraId="43CE2357"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lastRenderedPageBreak/>
        <w:t>Las empresas coinciden en señalar que uno de los principales obstáculos para avanzar en procesos de transición energética es la falta de articulación entre entidades como el Ministerio de Minas y Energía, la UPME, la ANLA, las autoridades ambientales regionales y las entidades encargadas de la política climática. Esta situación genera retrasos en permisos, incertidumbre regulatoria y dificultades para la planificación de inversiones de largo plazo.</w:t>
      </w:r>
    </w:p>
    <w:p w14:paraId="562E90DA"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Las empresas consideran que existen múltiples entidades con competencias sobre la transición energética, pero sin mecanismos suficientemente claros de coordinación.</w:t>
      </w:r>
    </w:p>
    <w:p w14:paraId="5377E9A4" w14:textId="77777777" w:rsidR="008B3252" w:rsidRPr="00984829" w:rsidRDefault="008B3252" w:rsidP="00984829">
      <w:pPr>
        <w:spacing w:before="240"/>
        <w:jc w:val="both"/>
        <w:rPr>
          <w:rFonts w:asciiTheme="majorHAnsi" w:hAnsiTheme="majorHAnsi" w:cstheme="majorHAnsi"/>
        </w:rPr>
      </w:pPr>
      <w:proofErr w:type="spellStart"/>
      <w:r w:rsidRPr="00984829">
        <w:rPr>
          <w:rFonts w:asciiTheme="majorHAnsi" w:hAnsiTheme="majorHAnsi" w:cstheme="majorHAnsi"/>
        </w:rPr>
        <w:t>GeoPark</w:t>
      </w:r>
      <w:proofErr w:type="spellEnd"/>
      <w:r w:rsidRPr="00984829">
        <w:rPr>
          <w:rFonts w:asciiTheme="majorHAnsi" w:hAnsiTheme="majorHAnsi" w:cstheme="majorHAnsi"/>
        </w:rPr>
        <w:t xml:space="preserve"> propone avanzar en la armonización de metodologías y sistemas de reporte, mayor coordinación territorial, fortalecimiento de mecanismos de financiamiento y participación temprana de comunidades y actores locales.</w:t>
      </w:r>
    </w:p>
    <w:p w14:paraId="3A4B0861"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Paralelamente </w:t>
      </w:r>
      <w:proofErr w:type="spellStart"/>
      <w:r w:rsidRPr="00984829">
        <w:rPr>
          <w:rFonts w:asciiTheme="majorHAnsi" w:hAnsiTheme="majorHAnsi" w:cstheme="majorHAnsi"/>
        </w:rPr>
        <w:t>Tecpetrol</w:t>
      </w:r>
      <w:proofErr w:type="spellEnd"/>
      <w:r w:rsidRPr="00984829">
        <w:rPr>
          <w:rFonts w:asciiTheme="majorHAnsi" w:hAnsiTheme="majorHAnsi" w:cstheme="majorHAnsi"/>
        </w:rPr>
        <w:t xml:space="preserve"> también identifica la necesidad de una mejor coordinación entre las autoridades ambientales nacionales y regionales y las entidades del sector energético y </w:t>
      </w:r>
      <w:proofErr w:type="spellStart"/>
      <w:r w:rsidRPr="00984829">
        <w:rPr>
          <w:rFonts w:asciiTheme="majorHAnsi" w:hAnsiTheme="majorHAnsi" w:cstheme="majorHAnsi"/>
        </w:rPr>
        <w:t>Perenco</w:t>
      </w:r>
      <w:proofErr w:type="spellEnd"/>
      <w:r w:rsidRPr="00984829">
        <w:rPr>
          <w:rFonts w:asciiTheme="majorHAnsi" w:hAnsiTheme="majorHAnsi" w:cstheme="majorHAnsi"/>
        </w:rPr>
        <w:t xml:space="preserve"> enfatiza que la arquitectura institucional actual presenta limitaciones para desarrollar infraestructura energética estratégica.</w:t>
      </w:r>
    </w:p>
    <w:p w14:paraId="6B8D35DF"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Igualmente, es importante señalar, las diferentes demoras en autorizaciones de conexión al Sistema Interconectado Nacional, así como, la ausencia de infraestructura de transporte de gas en algunas regiones productoras y la lentitud en la ejecución de proyectos contemplados en los planes nacionales de abastecimiento energético.</w:t>
      </w:r>
    </w:p>
    <w:p w14:paraId="2358948A"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Esto revela una tensión estructural, mientras la política pública promueve la electrificación y la transición energética, la infraestructura necesaria para materializar esos cambios aún presenta importantes rezagos.</w:t>
      </w:r>
    </w:p>
    <w:p w14:paraId="18473499"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Las empresas reportan que gran parte de la interlocución institucional ocurre a través de gremios como la Asociación Colombiana del Petróleo y Gas y la Asociación Nacional de Empresarios de Colombia. Esto sugiere que el sector continúa privilegiando espacios de concertación empresarial para incidir en la formulación de políticas públicas relacionadas con la transición energética.</w:t>
      </w:r>
    </w:p>
    <w:p w14:paraId="7EB9897A"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lastRenderedPageBreak/>
        <w:t>La principal preocupación institucional del sector hidrocarburos no parece ser la ausencia de políticas de transición, sino la falta de coordinación, estabilidad y capacidad de ejecución del aparato institucional encargado de implementarlas. Las empresas señalan una gobernanza más integrada, con reglas claras, procesos ágiles y mejor articulación territorial.</w:t>
      </w:r>
    </w:p>
    <w:p w14:paraId="2EDBFA7E" w14:textId="77777777" w:rsidR="008B3252" w:rsidRPr="00984829" w:rsidRDefault="008B3252" w:rsidP="00721806">
      <w:pPr>
        <w:pStyle w:val="Prrafodelista"/>
        <w:numPr>
          <w:ilvl w:val="2"/>
          <w:numId w:val="46"/>
        </w:numPr>
        <w:spacing w:before="200"/>
        <w:ind w:right="-41"/>
        <w:jc w:val="both"/>
        <w:outlineLvl w:val="2"/>
        <w:rPr>
          <w:rFonts w:asciiTheme="majorHAnsi" w:hAnsiTheme="majorHAnsi" w:cstheme="majorHAnsi"/>
          <w:b/>
          <w:bCs/>
          <w:color w:val="D49E21"/>
        </w:rPr>
      </w:pPr>
      <w:bookmarkStart w:id="66" w:name="_Toc234942037"/>
      <w:bookmarkStart w:id="67" w:name="_Toc235107950"/>
      <w:r w:rsidRPr="00984829">
        <w:rPr>
          <w:rFonts w:asciiTheme="majorHAnsi" w:hAnsiTheme="majorHAnsi" w:cstheme="majorHAnsi"/>
          <w:b/>
          <w:bCs/>
          <w:color w:val="D49E21"/>
        </w:rPr>
        <w:t>Políticas públicas (económicas, sociales y ambientales) de fomento a la transición energética</w:t>
      </w:r>
      <w:bookmarkEnd w:id="66"/>
      <w:bookmarkEnd w:id="67"/>
    </w:p>
    <w:p w14:paraId="48258046"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Se reconoce la necesidad de avanzar en la transición energética, pero plantean que ésta debe ser gradual, técnicamente viable y compatible con la seguridad energética nacional. Existe una visión compartida según la cual el petróleo y el gas seguirán desempeñando un papel relevante durante las próximas décadas, mientras se desarrollan tecnologías e infraestructuras alternativas.</w:t>
      </w:r>
    </w:p>
    <w:p w14:paraId="61B6E8BA"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Al respecto, es importante destacar el predominio de una transición basada en descarbonización operativa, puesto que las respuestas muestran que las compañías están enfocando sus esfuerzos principalmente en, reducción de emisiones, eficiencia energética, disminución de venteos y fugas, aprovechamiento de gas asociado y la incorporación gradual de energías renovables.</w:t>
      </w:r>
    </w:p>
    <w:p w14:paraId="410B059B"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Es decir, el enfoque dominante no es abandonar los hidrocarburos, sino producirlos con menores emisiones. Por ello el gas natural aparece como combustible de transición, aunque el discurso oficial suele concentrarse en energías renovables, varias respuestas muestran que el sector considera al gas natural como un elemento fundamental para garantizar estabilidad energética durante la transición. </w:t>
      </w:r>
      <w:proofErr w:type="spellStart"/>
      <w:r w:rsidRPr="00984829">
        <w:rPr>
          <w:rFonts w:asciiTheme="majorHAnsi" w:hAnsiTheme="majorHAnsi" w:cstheme="majorHAnsi"/>
        </w:rPr>
        <w:t>Perenco</w:t>
      </w:r>
      <w:proofErr w:type="spellEnd"/>
      <w:r w:rsidRPr="00984829">
        <w:rPr>
          <w:rFonts w:asciiTheme="majorHAnsi" w:hAnsiTheme="majorHAnsi" w:cstheme="majorHAnsi"/>
        </w:rPr>
        <w:t xml:space="preserve"> incluso señala que la falta de infraestructura gasífera limita las posibilidades de avanzar hacia esquemas energéticos más limpios en determinadas regiones.</w:t>
      </w:r>
    </w:p>
    <w:p w14:paraId="5EE2E393"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Ahora bien, es importante como se señala la necesidad de desarrollar procesos para consolidar comunidades energéticas para el cierre de brechas, sin embargo, esto no es una perspectiva común en las empresas, </w:t>
      </w:r>
      <w:proofErr w:type="spellStart"/>
      <w:r w:rsidRPr="00984829">
        <w:rPr>
          <w:rFonts w:asciiTheme="majorHAnsi" w:hAnsiTheme="majorHAnsi" w:cstheme="majorHAnsi"/>
        </w:rPr>
        <w:t>GeoPark</w:t>
      </w:r>
      <w:proofErr w:type="spellEnd"/>
      <w:r w:rsidRPr="00984829">
        <w:rPr>
          <w:rFonts w:asciiTheme="majorHAnsi" w:hAnsiTheme="majorHAnsi" w:cstheme="majorHAnsi"/>
        </w:rPr>
        <w:t xml:space="preserve"> es una de las pocas empresas que presenta el enfoque social más desarrollado, pues destaca la necesidad de consolidar, comunidades energéticas rurales, sistemas fotovoltaicos para viviendas dispersas, electrificación rural y obras por impuestos para acceso energético; estas iniciativas no se desarrollan claramente en otras empresas </w:t>
      </w:r>
    </w:p>
    <w:p w14:paraId="41415731"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lastRenderedPageBreak/>
        <w:t>Lo anterior, evidencia una comprensión media al concepto de Transición Energética Justa, en la medida en que vincula la transición con el acceso a energía, la reducción de desigualdades territoriales y el desarrollo comunitario.</w:t>
      </w:r>
    </w:p>
    <w:p w14:paraId="02BAD603"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Por otro lado, la mayoría de las empresas mencionan la incertidumbre regulatoria como uno de los mayores obstáculos para la transición, pues existen cambios frecuentes en las reglas, falta de marcos regulatorios para nuevas tecnologías, ausencia de señales económicas estables y retrasos en instrumentos climáticos como el Programa Nacional de Cupos Transables de Emisiones (PNCTE).</w:t>
      </w:r>
    </w:p>
    <w:p w14:paraId="54B0D115"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El sector hidrocarburos respalda una transición energética basada en la reducción progresiva de emisiones y la incorporación gradual de energías renovables, pero rechaza implícitamente escenarios de sustitución acelerada de los hidrocarburos. Las empresas demandan mayor estabilidad regulatoria y consideran que el gas natural seguirá siendo una pieza clave de la matriz energética colombiana.</w:t>
      </w:r>
    </w:p>
    <w:p w14:paraId="1E5201FA" w14:textId="77777777" w:rsidR="008B3252" w:rsidRPr="00984829" w:rsidRDefault="008B3252" w:rsidP="00721806">
      <w:pPr>
        <w:pStyle w:val="Prrafodelista"/>
        <w:numPr>
          <w:ilvl w:val="2"/>
          <w:numId w:val="46"/>
        </w:numPr>
        <w:spacing w:before="200"/>
        <w:ind w:right="-41"/>
        <w:jc w:val="both"/>
        <w:outlineLvl w:val="2"/>
        <w:rPr>
          <w:rFonts w:asciiTheme="majorHAnsi" w:hAnsiTheme="majorHAnsi" w:cstheme="majorHAnsi"/>
          <w:b/>
          <w:bCs/>
          <w:color w:val="D49E21"/>
        </w:rPr>
      </w:pPr>
      <w:bookmarkStart w:id="68" w:name="_Toc234942038"/>
      <w:bookmarkStart w:id="69" w:name="_Toc235107951"/>
      <w:r w:rsidRPr="00984829">
        <w:rPr>
          <w:rFonts w:asciiTheme="majorHAnsi" w:hAnsiTheme="majorHAnsi" w:cstheme="majorHAnsi"/>
          <w:b/>
          <w:bCs/>
          <w:color w:val="D49E21"/>
        </w:rPr>
        <w:t>Políticas fiscales para la transición</w:t>
      </w:r>
      <w:bookmarkEnd w:id="68"/>
      <w:bookmarkEnd w:id="69"/>
    </w:p>
    <w:p w14:paraId="4B229B27"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Existe un consenso notable entre las empresas sobre el papel central que deben desempeñar los instrumentos fiscales y financieros para acelerar la transición energética. Las propuestas se concentran en incentivos y mecanismos de mercado más que en instrumentos coercitivos.</w:t>
      </w:r>
    </w:p>
    <w:p w14:paraId="09A6FE03"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Inicialmente, surge la necesidad de incentivos tributarios para tecnologías limpias, La propuesta más recurrente consiste en ampliar beneficios tributarios para la creación de energías renovables, la eficiencia energética, electrificación, almacenamiento energético, equipos y tecnologías de bajas emisiones. Las empresas consideran que estos incentivos son fundamentales para mejorar la rentabilidad de los proyectos de transición.</w:t>
      </w:r>
    </w:p>
    <w:p w14:paraId="666B8092" w14:textId="77777777" w:rsidR="008B3252" w:rsidRPr="00984829" w:rsidRDefault="008B3252" w:rsidP="00984829">
      <w:pPr>
        <w:spacing w:before="240"/>
        <w:jc w:val="both"/>
        <w:rPr>
          <w:rFonts w:asciiTheme="majorHAnsi" w:hAnsiTheme="majorHAnsi" w:cstheme="majorHAnsi"/>
        </w:rPr>
      </w:pPr>
      <w:proofErr w:type="spellStart"/>
      <w:r w:rsidRPr="00984829">
        <w:rPr>
          <w:rFonts w:asciiTheme="majorHAnsi" w:hAnsiTheme="majorHAnsi" w:cstheme="majorHAnsi"/>
        </w:rPr>
        <w:t>GeoPark</w:t>
      </w:r>
      <w:proofErr w:type="spellEnd"/>
      <w:r w:rsidRPr="00984829">
        <w:rPr>
          <w:rFonts w:asciiTheme="majorHAnsi" w:hAnsiTheme="majorHAnsi" w:cstheme="majorHAnsi"/>
        </w:rPr>
        <w:t xml:space="preserve"> y </w:t>
      </w:r>
      <w:proofErr w:type="spellStart"/>
      <w:r w:rsidRPr="00984829">
        <w:rPr>
          <w:rFonts w:asciiTheme="majorHAnsi" w:hAnsiTheme="majorHAnsi" w:cstheme="majorHAnsi"/>
        </w:rPr>
        <w:t>Tecpetrol</w:t>
      </w:r>
      <w:proofErr w:type="spellEnd"/>
      <w:r w:rsidRPr="00984829">
        <w:rPr>
          <w:rFonts w:asciiTheme="majorHAnsi" w:hAnsiTheme="majorHAnsi" w:cstheme="majorHAnsi"/>
        </w:rPr>
        <w:t xml:space="preserve"> destacan la importancia de créditos verdes, tasas preferenciales, financiamiento climático, esquemas de </w:t>
      </w:r>
      <w:proofErr w:type="spellStart"/>
      <w:r w:rsidRPr="00984829">
        <w:rPr>
          <w:rFonts w:asciiTheme="majorHAnsi" w:hAnsiTheme="majorHAnsi" w:cstheme="majorHAnsi"/>
        </w:rPr>
        <w:t>blended</w:t>
      </w:r>
      <w:proofErr w:type="spellEnd"/>
      <w:r w:rsidRPr="00984829">
        <w:rPr>
          <w:rFonts w:asciiTheme="majorHAnsi" w:hAnsiTheme="majorHAnsi" w:cstheme="majorHAnsi"/>
        </w:rPr>
        <w:t xml:space="preserve"> </w:t>
      </w:r>
      <w:proofErr w:type="spellStart"/>
      <w:r w:rsidRPr="00984829">
        <w:rPr>
          <w:rFonts w:asciiTheme="majorHAnsi" w:hAnsiTheme="majorHAnsi" w:cstheme="majorHAnsi"/>
        </w:rPr>
        <w:t>finance</w:t>
      </w:r>
      <w:proofErr w:type="spellEnd"/>
      <w:r w:rsidRPr="00984829">
        <w:rPr>
          <w:rFonts w:asciiTheme="majorHAnsi" w:hAnsiTheme="majorHAnsi" w:cstheme="majorHAnsi"/>
        </w:rPr>
        <w:t xml:space="preserve"> y créditos vinculados al desempeño ambiental. Evidenciado la percepción de que proyectos de descarbonización son técnicamente viables, pero enfrentan restricciones financieras.</w:t>
      </w:r>
    </w:p>
    <w:p w14:paraId="453045D1"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lastRenderedPageBreak/>
        <w:t xml:space="preserve">Igualmente, </w:t>
      </w:r>
      <w:proofErr w:type="spellStart"/>
      <w:r w:rsidRPr="00984829">
        <w:rPr>
          <w:rFonts w:asciiTheme="majorHAnsi" w:hAnsiTheme="majorHAnsi" w:cstheme="majorHAnsi"/>
        </w:rPr>
        <w:t>Chevron</w:t>
      </w:r>
      <w:proofErr w:type="spellEnd"/>
      <w:r w:rsidRPr="00984829">
        <w:rPr>
          <w:rFonts w:asciiTheme="majorHAnsi" w:hAnsiTheme="majorHAnsi" w:cstheme="majorHAnsi"/>
        </w:rPr>
        <w:t xml:space="preserve"> y </w:t>
      </w:r>
      <w:proofErr w:type="spellStart"/>
      <w:r w:rsidRPr="00984829">
        <w:rPr>
          <w:rFonts w:asciiTheme="majorHAnsi" w:hAnsiTheme="majorHAnsi" w:cstheme="majorHAnsi"/>
        </w:rPr>
        <w:t>GeoPark</w:t>
      </w:r>
      <w:proofErr w:type="spellEnd"/>
      <w:r w:rsidRPr="00984829">
        <w:rPr>
          <w:rFonts w:asciiTheme="majorHAnsi" w:hAnsiTheme="majorHAnsi" w:cstheme="majorHAnsi"/>
        </w:rPr>
        <w:t xml:space="preserve"> otorgan un papel importante a los mecanismos de precio al carbono. </w:t>
      </w:r>
      <w:proofErr w:type="spellStart"/>
      <w:r w:rsidRPr="00984829">
        <w:rPr>
          <w:rFonts w:asciiTheme="majorHAnsi" w:hAnsiTheme="majorHAnsi" w:cstheme="majorHAnsi"/>
        </w:rPr>
        <w:t>Chevron</w:t>
      </w:r>
      <w:proofErr w:type="spellEnd"/>
      <w:r w:rsidRPr="00984829">
        <w:rPr>
          <w:rFonts w:asciiTheme="majorHAnsi" w:hAnsiTheme="majorHAnsi" w:cstheme="majorHAnsi"/>
        </w:rPr>
        <w:t xml:space="preserve"> considera que la fijación de precios al carbono es el instrumento más eficiente para reducir emisiones, siempre que sea predecible y aplique de forma amplia en la economía y paralelamente </w:t>
      </w:r>
      <w:proofErr w:type="spellStart"/>
      <w:r w:rsidRPr="00984829">
        <w:rPr>
          <w:rFonts w:asciiTheme="majorHAnsi" w:hAnsiTheme="majorHAnsi" w:cstheme="majorHAnsi"/>
        </w:rPr>
        <w:t>GeoPark</w:t>
      </w:r>
      <w:proofErr w:type="spellEnd"/>
      <w:r w:rsidRPr="00984829">
        <w:rPr>
          <w:rFonts w:asciiTheme="majorHAnsi" w:hAnsiTheme="majorHAnsi" w:cstheme="majorHAnsi"/>
        </w:rPr>
        <w:t xml:space="preserve"> complementa esta visión apoyando el fortalecimiento del Programa Nacional de Cupos Transables de Emisión de Gases de Efecto Invernadero (PNCTE) y otros mecanismos de compensación de emisiones.</w:t>
      </w:r>
    </w:p>
    <w:p w14:paraId="67F34887" w14:textId="77777777" w:rsidR="008B3252" w:rsidRPr="00984829" w:rsidRDefault="008B3252" w:rsidP="00984829">
      <w:pPr>
        <w:spacing w:before="240"/>
        <w:jc w:val="both"/>
        <w:rPr>
          <w:rFonts w:asciiTheme="majorHAnsi" w:hAnsiTheme="majorHAnsi" w:cstheme="majorHAnsi"/>
        </w:rPr>
      </w:pPr>
      <w:proofErr w:type="spellStart"/>
      <w:r w:rsidRPr="00984829">
        <w:rPr>
          <w:rFonts w:asciiTheme="majorHAnsi" w:hAnsiTheme="majorHAnsi" w:cstheme="majorHAnsi"/>
        </w:rPr>
        <w:t>GeoPark</w:t>
      </w:r>
      <w:proofErr w:type="spellEnd"/>
      <w:r w:rsidRPr="00984829">
        <w:rPr>
          <w:rFonts w:asciiTheme="majorHAnsi" w:hAnsiTheme="majorHAnsi" w:cstheme="majorHAnsi"/>
        </w:rPr>
        <w:t xml:space="preserve"> introduce un elemento diferenciador al destacar las Obras por Impuestos como mecanismo para financiar proyectos energéticos comunitarios y cerrar brechas territoriales. Este instrumento conecta la política fiscal con los objetivos sociales de la transición energética.</w:t>
      </w:r>
    </w:p>
    <w:p w14:paraId="7B324891"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Lo anterior evidencia que, las empresas del sector hidrocarburos favorecen una política fiscal orientada a incentivos antes que restricciones, evidenciando consenso en torno a cuatro instrumentos prioritarios:</w:t>
      </w:r>
    </w:p>
    <w:p w14:paraId="5316E799" w14:textId="77777777" w:rsidR="008B3252" w:rsidRPr="00984829" w:rsidRDefault="008B3252" w:rsidP="00721806">
      <w:pPr>
        <w:pStyle w:val="Prrafodelista"/>
        <w:numPr>
          <w:ilvl w:val="0"/>
          <w:numId w:val="43"/>
        </w:numPr>
        <w:spacing w:before="240"/>
        <w:jc w:val="both"/>
        <w:rPr>
          <w:rFonts w:asciiTheme="majorHAnsi" w:hAnsiTheme="majorHAnsi" w:cstheme="majorHAnsi"/>
        </w:rPr>
      </w:pPr>
      <w:r w:rsidRPr="00984829">
        <w:rPr>
          <w:rFonts w:asciiTheme="majorHAnsi" w:hAnsiTheme="majorHAnsi" w:cstheme="majorHAnsi"/>
        </w:rPr>
        <w:t>Incentivos tributarios para tecnologías limpias.</w:t>
      </w:r>
    </w:p>
    <w:p w14:paraId="30BFBB6A" w14:textId="77777777" w:rsidR="008B3252" w:rsidRPr="00984829" w:rsidRDefault="008B3252" w:rsidP="00721806">
      <w:pPr>
        <w:pStyle w:val="Prrafodelista"/>
        <w:numPr>
          <w:ilvl w:val="0"/>
          <w:numId w:val="43"/>
        </w:numPr>
        <w:spacing w:before="240"/>
        <w:jc w:val="both"/>
        <w:rPr>
          <w:rFonts w:asciiTheme="majorHAnsi" w:hAnsiTheme="majorHAnsi" w:cstheme="majorHAnsi"/>
        </w:rPr>
      </w:pPr>
      <w:r w:rsidRPr="00984829">
        <w:rPr>
          <w:rFonts w:asciiTheme="majorHAnsi" w:hAnsiTheme="majorHAnsi" w:cstheme="majorHAnsi"/>
        </w:rPr>
        <w:t>Financiamiento verde y créditos preferenciales.</w:t>
      </w:r>
    </w:p>
    <w:p w14:paraId="46859B63" w14:textId="77777777" w:rsidR="008B3252" w:rsidRPr="00984829" w:rsidRDefault="008B3252" w:rsidP="00721806">
      <w:pPr>
        <w:pStyle w:val="Prrafodelista"/>
        <w:numPr>
          <w:ilvl w:val="0"/>
          <w:numId w:val="43"/>
        </w:numPr>
        <w:spacing w:before="240"/>
        <w:jc w:val="both"/>
        <w:rPr>
          <w:rFonts w:asciiTheme="majorHAnsi" w:hAnsiTheme="majorHAnsi" w:cstheme="majorHAnsi"/>
        </w:rPr>
      </w:pPr>
      <w:r w:rsidRPr="00984829">
        <w:rPr>
          <w:rFonts w:asciiTheme="majorHAnsi" w:hAnsiTheme="majorHAnsi" w:cstheme="majorHAnsi"/>
        </w:rPr>
        <w:t>Mercados e instrumentos de carbono.</w:t>
      </w:r>
    </w:p>
    <w:p w14:paraId="0EA7028E" w14:textId="77777777" w:rsidR="008B3252" w:rsidRPr="00984829" w:rsidRDefault="008B3252" w:rsidP="00721806">
      <w:pPr>
        <w:pStyle w:val="Prrafodelista"/>
        <w:numPr>
          <w:ilvl w:val="0"/>
          <w:numId w:val="43"/>
        </w:numPr>
        <w:spacing w:before="240"/>
        <w:jc w:val="both"/>
        <w:rPr>
          <w:rFonts w:asciiTheme="majorHAnsi" w:hAnsiTheme="majorHAnsi" w:cstheme="majorHAnsi"/>
        </w:rPr>
      </w:pPr>
      <w:r w:rsidRPr="00984829">
        <w:rPr>
          <w:rFonts w:asciiTheme="majorHAnsi" w:hAnsiTheme="majorHAnsi" w:cstheme="majorHAnsi"/>
        </w:rPr>
        <w:t>Obras por Impuestos para proyectos territoriales de transición.</w:t>
      </w:r>
    </w:p>
    <w:p w14:paraId="3819B00B"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La visión predominante del sector es que la transición energética será más efectiva si se construye mediante señales económicas estables, incentivos a la inversión y fortalecimiento de infraestructura, en lugar de depender exclusivamente de regulaciones restrictivas.</w:t>
      </w:r>
    </w:p>
    <w:p w14:paraId="4C836126"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Las respuestas analizadas muestran que el sector hidrocarburos colombiano no se opone a la Transición Energética Justa; sin embargo, la interpreta desde una lógica de transformación gradual del sistema energético y no de sustitución rápida de los combustibles fósiles. Las prioridades identificadas resaltan la necesidad de mayor coordinación institucional, seguridad energética y confiabilidad del sistema, estabilidad regulatoria, fortalecimiento de infraestructura eléctrica y gasífera, incentivos económicos para la descarbonización y participación comunitaria vinculada al acceso a energía y desarrollo territorial.</w:t>
      </w:r>
    </w:p>
    <w:p w14:paraId="6732CFC3"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En conjunto, las respuestas reflejan una visión donde los hidrocarburos, particularmente el gas natural, continúan siendo considerados por las empresas como un componente estratégico de la transición energética colombiana durante las próximas décadas.</w:t>
      </w:r>
    </w:p>
    <w:p w14:paraId="23594754" w14:textId="77777777" w:rsidR="008B3252" w:rsidRPr="00984829" w:rsidRDefault="008B3252" w:rsidP="00721806">
      <w:pPr>
        <w:pStyle w:val="Prrafodelista"/>
        <w:numPr>
          <w:ilvl w:val="1"/>
          <w:numId w:val="46"/>
        </w:numPr>
        <w:spacing w:before="240"/>
        <w:outlineLvl w:val="1"/>
        <w:rPr>
          <w:rFonts w:asciiTheme="majorHAnsi" w:hAnsiTheme="majorHAnsi" w:cstheme="majorHAnsi"/>
          <w:b/>
          <w:bCs/>
          <w:color w:val="D49E21"/>
        </w:rPr>
      </w:pPr>
      <w:bookmarkStart w:id="70" w:name="_Toc234942039"/>
      <w:bookmarkStart w:id="71" w:name="_Toc235107952"/>
      <w:r w:rsidRPr="00984829">
        <w:rPr>
          <w:rFonts w:asciiTheme="majorHAnsi" w:hAnsiTheme="majorHAnsi" w:cstheme="majorHAnsi"/>
          <w:b/>
          <w:bCs/>
          <w:color w:val="D49E21"/>
        </w:rPr>
        <w:lastRenderedPageBreak/>
        <w:t>Perspectivas de las Organizaciones Sociales sobre la TEJ en el sector de Hidrocarburos.</w:t>
      </w:r>
      <w:bookmarkEnd w:id="70"/>
      <w:bookmarkEnd w:id="71"/>
    </w:p>
    <w:p w14:paraId="3312330A" w14:textId="77777777" w:rsidR="008B3252" w:rsidRPr="00984829" w:rsidRDefault="008B3252" w:rsidP="00721806">
      <w:pPr>
        <w:pStyle w:val="Prrafodelista"/>
        <w:numPr>
          <w:ilvl w:val="2"/>
          <w:numId w:val="46"/>
        </w:numPr>
        <w:spacing w:before="240"/>
        <w:outlineLvl w:val="1"/>
        <w:rPr>
          <w:rFonts w:asciiTheme="majorHAnsi" w:hAnsiTheme="majorHAnsi" w:cstheme="majorHAnsi"/>
          <w:b/>
          <w:bCs/>
          <w:color w:val="D49E21"/>
        </w:rPr>
      </w:pPr>
      <w:bookmarkStart w:id="72" w:name="_Toc234942040"/>
      <w:bookmarkStart w:id="73" w:name="_Toc235107953"/>
      <w:r w:rsidRPr="00984829">
        <w:rPr>
          <w:rFonts w:asciiTheme="majorHAnsi" w:hAnsiTheme="majorHAnsi" w:cstheme="majorHAnsi"/>
          <w:b/>
          <w:bCs/>
          <w:color w:val="D49E21"/>
        </w:rPr>
        <w:t>Imaginarios sobre la transición energética</w:t>
      </w:r>
      <w:bookmarkEnd w:id="72"/>
      <w:bookmarkEnd w:id="73"/>
    </w:p>
    <w:p w14:paraId="5C3CD216"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Desde la perspectiva de las organizaciones articuladas en la Alianza, la transición no se limita a un cambio de matriz tecnológica, sino que implica considerar el rol de las organizaciones y sus aportes, es decir “una transición que tenga en cuenta a la a la sociedad civil (...) que en esos espacios de formulación justamente de políticas públicas, pues sean tenidos en cuenta”</w:t>
      </w:r>
    </w:p>
    <w:p w14:paraId="24546C76"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Lo anterior, puesto que las organizaciones sociales y la sociedad civil pueden presentar un análisis integral de los “miedos” e imaginarios alrededor de la TEJ, principalmente en el sector de hidrocarburos</w:t>
      </w:r>
    </w:p>
    <w:p w14:paraId="55D1B5DF"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Al respecto destacan tres grandes pilares, en términos de imaginarios y propuestas que han surgido en los territorios: </w:t>
      </w:r>
    </w:p>
    <w:p w14:paraId="693AFF08"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Reconversión productiva y autonomía territorial: Se plantea una salida planeada de los combustibles fósiles que aborde la dependencia económica y socioambiental. Esto implica articular la transición con el cumplimiento del acuerdo de paz (reforma agraria, apoyo a la producción de alimentos y economía campesina) para eliminar la dependencia de los hidrocarburos en las cadenas agropecuarias. Asimismo, exige una reconversión laboral con arraigo territorial, circuitos solidarios locales y la transformación de los sistemas de transporte y movilidad.</w:t>
      </w:r>
    </w:p>
    <w:p w14:paraId="1756B9A3"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Transformación del modelo fósil: Salir de los combustibles fósiles requiere un diálogo social para reparar los impactos residuales y conflictos socioambientales acumulados tras 120 años de producción. Se exige la obligatoriedad de planes de cierre minero y petrolero responsables, modificaciones normativas para el desmantelamiento de infraestructura (especialmente costa fuera que se convierte en pasivo ambiental) y ajustes fiscales para eliminar subsidios a la oferta de fósiles, redirigiendo esos recursos a fondos de transición.</w:t>
      </w:r>
    </w:p>
    <w:p w14:paraId="751C72FC"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Sustitución por fuentes alternativas descentralizadas: Se rechaza el modelo centralizado de energía corporativa que reproduce el acaparamiento de tierras y la afectación de territorios. En su lugar, se defienden los sistemas descentralizados basados en energías comunitarias, diferenciándose de la figura </w:t>
      </w:r>
      <w:r w:rsidRPr="00984829">
        <w:rPr>
          <w:rFonts w:asciiTheme="majorHAnsi" w:hAnsiTheme="majorHAnsi" w:cstheme="majorHAnsi"/>
        </w:rPr>
        <w:lastRenderedPageBreak/>
        <w:t>de "comunidades energéticas", la cual es percibida como una vía de privatización de la generación distribuida que impone barreras de acceso.</w:t>
      </w:r>
    </w:p>
    <w:p w14:paraId="5F742668" w14:textId="77777777" w:rsidR="008B3252" w:rsidRPr="00984829" w:rsidRDefault="008B3252" w:rsidP="00721806">
      <w:pPr>
        <w:pStyle w:val="Prrafodelista"/>
        <w:numPr>
          <w:ilvl w:val="2"/>
          <w:numId w:val="46"/>
        </w:numPr>
        <w:spacing w:before="240"/>
        <w:jc w:val="both"/>
        <w:outlineLvl w:val="1"/>
        <w:rPr>
          <w:rFonts w:asciiTheme="majorHAnsi" w:hAnsiTheme="majorHAnsi" w:cstheme="majorHAnsi"/>
          <w:b/>
          <w:bCs/>
          <w:color w:val="D49E21"/>
        </w:rPr>
      </w:pPr>
      <w:bookmarkStart w:id="74" w:name="_Toc234942041"/>
      <w:bookmarkStart w:id="75" w:name="_Toc235107954"/>
      <w:r w:rsidRPr="00984829">
        <w:rPr>
          <w:rFonts w:asciiTheme="majorHAnsi" w:hAnsiTheme="majorHAnsi" w:cstheme="majorHAnsi"/>
          <w:b/>
          <w:bCs/>
          <w:color w:val="D49E21"/>
        </w:rPr>
        <w:t>Percepción de la institucionalidad y sus transformaciones</w:t>
      </w:r>
      <w:bookmarkEnd w:id="74"/>
      <w:bookmarkEnd w:id="75"/>
    </w:p>
    <w:p w14:paraId="05F23D2D"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La lectura sobre las entidades estatales (Ministerio de Minas y Energía, ANLA, Agencia Nacional de Hidrocarburos) revela una profunda contradicción entre el discurso internacional y las acciones locales.</w:t>
      </w:r>
    </w:p>
    <w:p w14:paraId="39218F36"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Por un lado, la incoherencia y desarticulación política, criticando que, a pesar de que el gobierno lidera escenarios internacionales para la salida de combustibles fósiles, internamente toma decisiones que prolongan la dependencia, tales como la ampliación de contratos a termoeléctricas en planes de cierre hasta 2029/2030 y la </w:t>
      </w:r>
      <w:proofErr w:type="spellStart"/>
      <w:r w:rsidRPr="00984829">
        <w:rPr>
          <w:rFonts w:asciiTheme="majorHAnsi" w:hAnsiTheme="majorHAnsi" w:cstheme="majorHAnsi"/>
        </w:rPr>
        <w:t>viabilización</w:t>
      </w:r>
      <w:proofErr w:type="spellEnd"/>
      <w:r w:rsidRPr="00984829">
        <w:rPr>
          <w:rFonts w:asciiTheme="majorHAnsi" w:hAnsiTheme="majorHAnsi" w:cstheme="majorHAnsi"/>
        </w:rPr>
        <w:t xml:space="preserve"> de la gran termoeléctrica </w:t>
      </w:r>
      <w:proofErr w:type="spellStart"/>
      <w:r w:rsidRPr="00984829">
        <w:rPr>
          <w:rFonts w:asciiTheme="majorHAnsi" w:hAnsiTheme="majorHAnsi" w:cstheme="majorHAnsi"/>
        </w:rPr>
        <w:t>Nencol</w:t>
      </w:r>
      <w:proofErr w:type="spellEnd"/>
      <w:r w:rsidRPr="00984829">
        <w:rPr>
          <w:rFonts w:asciiTheme="majorHAnsi" w:hAnsiTheme="majorHAnsi" w:cstheme="majorHAnsi"/>
        </w:rPr>
        <w:t xml:space="preserve"> 5 (ubicada sobre la línea negra en el Caribe).</w:t>
      </w:r>
    </w:p>
    <w:p w14:paraId="577FD65E"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Por otro lado, el uso del miedo al desabastecimiento, ya que se percibe que el Ministerio promueve un temor infundado al apagón para justificar la continuidad del modelo fósil, ignorando las investigaciones de sectores populares que demuestran la viabilidad de un abastecimiento con fuentes eólica y solar.</w:t>
      </w:r>
    </w:p>
    <w:p w14:paraId="5E4FC67D"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Igualmente, destaca la constante ruptura del diálogo por cambios ministeriales, las organizaciones señalan que tras los cambios de ministros se ha perdido el diálogo y la voluntad política para impulsar proyectos clave de la sociedad civil, como el proyecto de ley para prohibir el </w:t>
      </w:r>
      <w:proofErr w:type="spellStart"/>
      <w:r w:rsidRPr="00984829">
        <w:rPr>
          <w:rFonts w:asciiTheme="majorHAnsi" w:hAnsiTheme="majorHAnsi" w:cstheme="majorHAnsi"/>
        </w:rPr>
        <w:t>fracking</w:t>
      </w:r>
      <w:proofErr w:type="spellEnd"/>
      <w:r w:rsidRPr="00984829">
        <w:rPr>
          <w:rFonts w:asciiTheme="majorHAnsi" w:hAnsiTheme="majorHAnsi" w:cstheme="majorHAnsi"/>
        </w:rPr>
        <w:t>, el cual lleva cuatro años estancado.</w:t>
      </w:r>
    </w:p>
    <w:p w14:paraId="357E8A4B"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Finalmente, se manifiesta una debilidad en el control ambiental y pasivos residuales, pues se evidencia la falta de medidas vinculantes para la inversión privada. Casos como las inundaciones en Córdoba exponen los efectos acumulativos de la hidroeléctrica Urra y el incumplimiento sistemático de licencias sin sanciones efectivas por parte de la ANLA. Asimismo, la transferencia de activos petroleros a empresas sin músculo financiero permite que los costos de los pasivos ambientales terminen siendo asumidos por el Estado y las comunidades.</w:t>
      </w:r>
    </w:p>
    <w:p w14:paraId="528C33C4" w14:textId="77777777" w:rsidR="008B3252" w:rsidRPr="00984829" w:rsidRDefault="008B3252" w:rsidP="00721806">
      <w:pPr>
        <w:pStyle w:val="Prrafodelista"/>
        <w:numPr>
          <w:ilvl w:val="2"/>
          <w:numId w:val="46"/>
        </w:numPr>
        <w:spacing w:before="240"/>
        <w:outlineLvl w:val="1"/>
        <w:rPr>
          <w:rFonts w:asciiTheme="majorHAnsi" w:hAnsiTheme="majorHAnsi" w:cstheme="majorHAnsi"/>
          <w:b/>
          <w:bCs/>
          <w:color w:val="D49E21"/>
        </w:rPr>
      </w:pPr>
      <w:bookmarkStart w:id="76" w:name="_Toc234942042"/>
      <w:bookmarkStart w:id="77" w:name="_Toc235107955"/>
      <w:r w:rsidRPr="00984829">
        <w:rPr>
          <w:rFonts w:asciiTheme="majorHAnsi" w:hAnsiTheme="majorHAnsi" w:cstheme="majorHAnsi"/>
          <w:b/>
          <w:bCs/>
          <w:color w:val="D49E21"/>
        </w:rPr>
        <w:t>Requerimientos normativos para la TEJ</w:t>
      </w:r>
      <w:bookmarkEnd w:id="76"/>
      <w:bookmarkEnd w:id="77"/>
    </w:p>
    <w:p w14:paraId="67AABBD8"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lastRenderedPageBreak/>
        <w:t>En el marco de requerimientos normativos, es importante mencionar las barreras para la Participación de las Organizaciones Sociales, puesto que las comunidades enfrentan obstáculos estructurales y de ejecución que limitan su incidencia real en la transición</w:t>
      </w:r>
    </w:p>
    <w:p w14:paraId="1BF53EEA"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Se identifica que la normatividad para la TEJ, presentan altos requerimientos burocráticos, los trámites administrativos para acceder y organizarse bajo la figura de comunidades energéticas son excesivamente elevados, impidiendo que las comunidades los gestionen y provocando que estas iniciativas terminen en manos del gran capital.</w:t>
      </w:r>
    </w:p>
    <w:p w14:paraId="2A7B4AA3"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Igualmente, existen fallas en la ejecución de espacios de participación, pues se identifica que en los diálogos oficiales se han propiciado espacios paralelos para debilitar las cumbres autoorganizadas por los pueblos. Además, las autoridades suelen llegar con documentos y propuestas preelaboradas ("proformas") para que las comunidades simplemente trabajen sobre ellas o las aprueben, anulando una participación vinculante.</w:t>
      </w:r>
    </w:p>
    <w:p w14:paraId="56EB0876"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Lo anterior, se agrava pues existe una exclusión de la toma de decisiones, las comunidades locales están completamente marginadas de las decisiones sobre el destino de la energía, cómo se produce, cómo se distribuye y para quién se genera.</w:t>
      </w:r>
    </w:p>
    <w:p w14:paraId="11B06805"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Finalmente, se debe cuestionar las estrategias actuales de coacción corporativa, puesto que en los procesos de consulta se denuncian complejas estrategias de "seducción y coacción" por parte de las empresas, lo que fractura el tejido social y genera conflictos internos en las organizaciones comunitarias.</w:t>
      </w:r>
    </w:p>
    <w:p w14:paraId="3793306E" w14:textId="77777777" w:rsidR="008B3252" w:rsidRPr="00984829" w:rsidRDefault="008B3252" w:rsidP="00721806">
      <w:pPr>
        <w:pStyle w:val="Prrafodelista"/>
        <w:numPr>
          <w:ilvl w:val="2"/>
          <w:numId w:val="46"/>
        </w:numPr>
        <w:spacing w:before="240"/>
        <w:outlineLvl w:val="1"/>
        <w:rPr>
          <w:rFonts w:asciiTheme="majorHAnsi" w:hAnsiTheme="majorHAnsi" w:cstheme="majorHAnsi"/>
          <w:b/>
          <w:bCs/>
          <w:color w:val="D49E21"/>
        </w:rPr>
      </w:pPr>
      <w:bookmarkStart w:id="78" w:name="_Toc234942043"/>
      <w:bookmarkStart w:id="79" w:name="_Toc235107956"/>
      <w:r w:rsidRPr="00984829">
        <w:rPr>
          <w:rFonts w:asciiTheme="majorHAnsi" w:hAnsiTheme="majorHAnsi" w:cstheme="majorHAnsi"/>
          <w:b/>
          <w:bCs/>
          <w:color w:val="D49E21"/>
        </w:rPr>
        <w:t>TEJ y sus implicaciones de género y etnia</w:t>
      </w:r>
      <w:bookmarkEnd w:id="78"/>
      <w:bookmarkEnd w:id="79"/>
    </w:p>
    <w:p w14:paraId="24B5B0AC"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 xml:space="preserve">El análisis de la energía desde una perspectiva de clase, género y etnia revela profundas asimetrías en el modelo actual, inicialmente, en la injusticia distributiva (Perspectiva de Clase y Etnia), existe una contradicción estructural donde la energía se extrae de territorios campesinos e indígenas (quienes sufren el despojo y los impactos ambientales), pero estos carecen de acceso a un servicio de calidad por la ausencia de redes de distribución. </w:t>
      </w:r>
    </w:p>
    <w:p w14:paraId="69477F9D"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lastRenderedPageBreak/>
        <w:t>Además, las poblaciones rurales son las que menos energía consumen. Los datos de consumo eléctrico muestran que el 87% de los usuarios (residenciales en estratos 1, 2 y 3), consumen solo el 18% de la energía, mientras que un pequeño porcentaje (sectores industrial, comercial, petrolero y de transporte) consume el 80%. Pese a esto, ante un escenario de apagón, los racionamientos se orientan a los usuarios residenciales en lugar de exigir eficiencia a los grandes consumidores.</w:t>
      </w:r>
    </w:p>
    <w:p w14:paraId="76F78EA9"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Ahora bien, los impactos en términos de género representan sobre cargas en las labores de cuidado, las mujeres en contextos rurales sufren de manera desproporcionada la falta de acceso a la energía, ya que actividades vitales como el funcionamiento de acueductos y bombas de agua potable dependen de ellas. Adicionalmente, la explotación de hidrocarburos genera impactos en la salud sexual y reproductiva debido a la exposición a sustancias químicas y contaminantes atmosféricos. Al incrementarse las enfermedades cardiovasculares y respiratorias en niños y adultos mayores, las mujeres asumen una sobrecarga en las labores de cuidado no remuneradas.</w:t>
      </w:r>
    </w:p>
    <w:p w14:paraId="1228E76D" w14:textId="77777777" w:rsidR="008B3252" w:rsidRPr="00984829" w:rsidRDefault="008B3252" w:rsidP="00984829">
      <w:pPr>
        <w:spacing w:before="240"/>
        <w:jc w:val="both"/>
        <w:rPr>
          <w:rFonts w:asciiTheme="majorHAnsi" w:hAnsiTheme="majorHAnsi" w:cstheme="majorHAnsi"/>
        </w:rPr>
      </w:pPr>
      <w:r w:rsidRPr="00984829">
        <w:rPr>
          <w:rFonts w:asciiTheme="majorHAnsi" w:hAnsiTheme="majorHAnsi" w:cstheme="majorHAnsi"/>
        </w:rPr>
        <w:t>Finalmente, se manifiesta una exclusión étnica en Consultas Previas, el acceso al derecho fundamental de la consulta previa está condicionado por el estatus legal y territorial de los grupos. Mientras que los pueblos indígenas cuentan con la Mesa Permanente de Concertación (MPC) como un espacio consolidado de diálogo de alto nivel con el gobierno —aunque a veces se distancie de las bases—, las comunidades negras, afrodescendientes, raizales y palenqueras tienen menor nivel de organización y quedan al margen. El pueblo Rom es el más excluido de estos procesos debido a que no posee un territorio específico.  </w:t>
      </w:r>
    </w:p>
    <w:p w14:paraId="46430827" w14:textId="77777777" w:rsidR="00F24A71" w:rsidRPr="00984829" w:rsidRDefault="00F24A71" w:rsidP="00984829">
      <w:pPr>
        <w:rPr>
          <w:rFonts w:asciiTheme="majorHAnsi" w:hAnsiTheme="majorHAnsi" w:cstheme="majorHAnsi"/>
          <w:color w:val="000000" w:themeColor="text1"/>
          <w:lang w:val="es-ES"/>
        </w:rPr>
      </w:pPr>
    </w:p>
    <w:p w14:paraId="149CABEB" w14:textId="77777777" w:rsidR="00F24A71" w:rsidRPr="00984829" w:rsidRDefault="00F24A71" w:rsidP="00984829">
      <w:pPr>
        <w:rPr>
          <w:rFonts w:asciiTheme="majorHAnsi" w:hAnsiTheme="majorHAnsi" w:cstheme="majorHAnsi"/>
          <w:color w:val="000000" w:themeColor="text1"/>
          <w:lang w:val="es-ES"/>
        </w:rPr>
      </w:pPr>
    </w:p>
    <w:p w14:paraId="597C117D" w14:textId="77777777" w:rsidR="00F24A71" w:rsidRPr="00984829" w:rsidRDefault="00F24A71" w:rsidP="00984829">
      <w:pPr>
        <w:rPr>
          <w:rFonts w:asciiTheme="majorHAnsi" w:hAnsiTheme="majorHAnsi" w:cstheme="majorHAnsi"/>
          <w:color w:val="000000" w:themeColor="text1"/>
          <w:lang w:val="es-ES"/>
        </w:rPr>
      </w:pPr>
    </w:p>
    <w:p w14:paraId="07B7CE51" w14:textId="77777777" w:rsidR="00F24A71" w:rsidRPr="00984829" w:rsidRDefault="00F24A71" w:rsidP="00984829">
      <w:pPr>
        <w:rPr>
          <w:rFonts w:asciiTheme="majorHAnsi" w:hAnsiTheme="majorHAnsi" w:cstheme="majorHAnsi"/>
          <w:color w:val="000000" w:themeColor="text1"/>
          <w:lang w:val="es-ES"/>
        </w:rPr>
      </w:pPr>
    </w:p>
    <w:p w14:paraId="3172AE1A" w14:textId="77777777" w:rsidR="00F24A71" w:rsidRPr="00984829" w:rsidRDefault="00F24A71" w:rsidP="00984829">
      <w:pPr>
        <w:rPr>
          <w:rFonts w:asciiTheme="majorHAnsi" w:hAnsiTheme="majorHAnsi" w:cstheme="majorHAnsi"/>
          <w:color w:val="000000" w:themeColor="text1"/>
          <w:lang w:val="es-ES"/>
        </w:rPr>
      </w:pPr>
    </w:p>
    <w:p w14:paraId="178DE986" w14:textId="77777777" w:rsidR="00F24A71" w:rsidRDefault="00F24A71" w:rsidP="006245F7">
      <w:pPr>
        <w:rPr>
          <w:rFonts w:asciiTheme="majorHAnsi" w:hAnsiTheme="majorHAnsi" w:cstheme="majorHAnsi"/>
          <w:b/>
          <w:bCs/>
          <w:color w:val="D49E21"/>
          <w:sz w:val="52"/>
          <w:szCs w:val="52"/>
        </w:rPr>
        <w:sectPr w:rsidR="00F24A71">
          <w:pgSz w:w="12240" w:h="15840"/>
          <w:pgMar w:top="1991" w:right="1418" w:bottom="1588" w:left="1418" w:header="573" w:footer="1531" w:gutter="0"/>
          <w:pgNumType w:start="1"/>
          <w:cols w:space="720"/>
        </w:sectPr>
      </w:pPr>
    </w:p>
    <w:p w14:paraId="3A44777F" w14:textId="77777777" w:rsidR="00F24A71" w:rsidRDefault="00F24A71" w:rsidP="006245F7">
      <w:pPr>
        <w:rPr>
          <w:rFonts w:asciiTheme="majorHAnsi" w:hAnsiTheme="majorHAnsi" w:cstheme="majorHAnsi"/>
          <w:b/>
          <w:bCs/>
          <w:color w:val="D49E21"/>
          <w:sz w:val="52"/>
          <w:szCs w:val="52"/>
        </w:rPr>
      </w:pPr>
    </w:p>
    <w:p w14:paraId="6FA9175B" w14:textId="77777777" w:rsidR="008757C2" w:rsidRDefault="008757C2" w:rsidP="006245F7">
      <w:pPr>
        <w:rPr>
          <w:rFonts w:asciiTheme="majorHAnsi" w:hAnsiTheme="majorHAnsi" w:cstheme="majorHAnsi"/>
          <w:b/>
          <w:bCs/>
          <w:color w:val="D49E21"/>
          <w:sz w:val="52"/>
          <w:szCs w:val="52"/>
        </w:rPr>
      </w:pPr>
    </w:p>
    <w:p w14:paraId="44F1DE31" w14:textId="77777777" w:rsidR="008757C2" w:rsidRDefault="008757C2" w:rsidP="006245F7">
      <w:pPr>
        <w:rPr>
          <w:rFonts w:asciiTheme="majorHAnsi" w:hAnsiTheme="majorHAnsi" w:cstheme="majorHAnsi"/>
          <w:b/>
          <w:bCs/>
          <w:color w:val="D49E21"/>
          <w:sz w:val="52"/>
          <w:szCs w:val="52"/>
        </w:rPr>
      </w:pPr>
    </w:p>
    <w:p w14:paraId="0DE5D971" w14:textId="77777777" w:rsidR="008757C2" w:rsidRDefault="008757C2" w:rsidP="006245F7">
      <w:pPr>
        <w:rPr>
          <w:rFonts w:asciiTheme="majorHAnsi" w:hAnsiTheme="majorHAnsi" w:cstheme="majorHAnsi"/>
          <w:b/>
          <w:bCs/>
          <w:color w:val="D49E21"/>
          <w:sz w:val="52"/>
          <w:szCs w:val="52"/>
        </w:rPr>
      </w:pPr>
    </w:p>
    <w:p w14:paraId="45D37D25" w14:textId="77777777" w:rsidR="008757C2" w:rsidRDefault="008757C2" w:rsidP="006245F7">
      <w:pPr>
        <w:rPr>
          <w:rFonts w:asciiTheme="majorHAnsi" w:hAnsiTheme="majorHAnsi" w:cstheme="majorHAnsi"/>
          <w:b/>
          <w:bCs/>
          <w:color w:val="D49E21"/>
          <w:sz w:val="52"/>
          <w:szCs w:val="52"/>
        </w:rPr>
      </w:pPr>
    </w:p>
    <w:p w14:paraId="2FB4F0D9" w14:textId="77777777" w:rsidR="00A86834" w:rsidRDefault="006245F7" w:rsidP="00CD0C90">
      <w:pPr>
        <w:jc w:val="center"/>
        <w:rPr>
          <w:rFonts w:asciiTheme="majorHAnsi" w:hAnsiTheme="majorHAnsi" w:cstheme="majorHAnsi"/>
          <w:b/>
          <w:bCs/>
          <w:color w:val="D49E21"/>
          <w:sz w:val="96"/>
          <w:szCs w:val="96"/>
        </w:rPr>
        <w:sectPr w:rsidR="00A86834">
          <w:pgSz w:w="12240" w:h="15840"/>
          <w:pgMar w:top="1991" w:right="1418" w:bottom="1588" w:left="1418" w:header="573" w:footer="1531" w:gutter="0"/>
          <w:pgNumType w:start="1"/>
          <w:cols w:space="720"/>
        </w:sectPr>
      </w:pPr>
      <w:bookmarkStart w:id="80" w:name="BM_EjeMineria"/>
      <w:r w:rsidRPr="00F24A71">
        <w:rPr>
          <w:rFonts w:asciiTheme="majorHAnsi" w:hAnsiTheme="majorHAnsi" w:cstheme="majorHAnsi"/>
          <w:b/>
          <w:bCs/>
          <w:color w:val="D49E21"/>
          <w:sz w:val="96"/>
          <w:szCs w:val="96"/>
        </w:rPr>
        <w:t>EJE MINERÍA</w:t>
      </w:r>
      <w:bookmarkEnd w:id="80"/>
    </w:p>
    <w:p w14:paraId="677616AB" w14:textId="77777777" w:rsidR="00E33FDE" w:rsidRDefault="00C72D7D" w:rsidP="00A86834">
      <w:pPr>
        <w:pStyle w:val="TtuloTDC"/>
      </w:pPr>
      <w:r>
        <w:lastRenderedPageBreak/>
        <w:t>Contenido</w:t>
      </w:r>
    </w:p>
    <w:p w14:paraId="38508872" w14:textId="77777777" w:rsidR="00E33FDE" w:rsidRDefault="00C72D7D">
      <w:pPr>
        <w:pStyle w:val="TDC1"/>
        <w:tabs>
          <w:tab w:val="right" w:leader="dot" w:pos="9394"/>
        </w:tabs>
        <w:rPr>
          <w:noProof/>
        </w:rPr>
      </w:pPr>
      <w:hyperlink w:anchor="_Toc235107957" w:history="1">
        <w:r>
          <w:rPr>
            <w:rStyle w:val="Hipervnculo"/>
            <w:noProof/>
          </w:rPr>
          <w:t>Introducción</w:t>
        </w:r>
        <w:r>
          <w:rPr>
            <w:noProof/>
          </w:rPr>
          <w:tab/>
        </w:r>
        <w:r>
          <w:rPr>
            <w:noProof/>
          </w:rPr>
          <w:fldChar w:fldCharType="begin" w:fldLock="1"/>
        </w:r>
        <w:r>
          <w:rPr>
            <w:noProof/>
          </w:rPr>
          <w:instrText xml:space="preserve"> PAGEREF _Toc235107957 \h </w:instrText>
        </w:r>
        <w:r>
          <w:rPr>
            <w:noProof/>
          </w:rPr>
        </w:r>
        <w:r>
          <w:rPr>
            <w:noProof/>
          </w:rPr>
          <w:fldChar w:fldCharType="separate"/>
        </w:r>
        <w:r>
          <w:rPr>
            <w:noProof/>
          </w:rPr>
          <w:t>41</w:t>
        </w:r>
        <w:r>
          <w:rPr>
            <w:noProof/>
          </w:rPr>
          <w:fldChar w:fldCharType="end"/>
        </w:r>
      </w:hyperlink>
    </w:p>
    <w:p w14:paraId="048F4D97" w14:textId="77777777" w:rsidR="00E33FDE" w:rsidRDefault="00C72D7D">
      <w:pPr>
        <w:pStyle w:val="TDC2"/>
        <w:tabs>
          <w:tab w:val="right" w:leader="dot" w:pos="9394"/>
        </w:tabs>
        <w:rPr>
          <w:noProof/>
        </w:rPr>
      </w:pPr>
      <w:hyperlink w:anchor="_Toc235107958" w:history="1">
        <w:r>
          <w:rPr>
            <w:rStyle w:val="Hipervnculo"/>
            <w:noProof/>
          </w:rPr>
          <w:t>1.1 La configuración actual del sector minero en Colombia y el pivote de minería</w:t>
        </w:r>
        <w:r>
          <w:rPr>
            <w:noProof/>
          </w:rPr>
          <w:tab/>
        </w:r>
        <w:r>
          <w:rPr>
            <w:noProof/>
          </w:rPr>
          <w:fldChar w:fldCharType="begin" w:fldLock="1"/>
        </w:r>
        <w:r>
          <w:rPr>
            <w:noProof/>
          </w:rPr>
          <w:instrText xml:space="preserve"> PAGEREF _Toc235107958 \h </w:instrText>
        </w:r>
        <w:r>
          <w:rPr>
            <w:noProof/>
          </w:rPr>
        </w:r>
        <w:r>
          <w:rPr>
            <w:noProof/>
          </w:rPr>
          <w:fldChar w:fldCharType="separate"/>
        </w:r>
        <w:r>
          <w:rPr>
            <w:noProof/>
          </w:rPr>
          <w:t>41</w:t>
        </w:r>
        <w:r>
          <w:rPr>
            <w:noProof/>
          </w:rPr>
          <w:fldChar w:fldCharType="end"/>
        </w:r>
      </w:hyperlink>
    </w:p>
    <w:p w14:paraId="08A05AF9" w14:textId="77777777" w:rsidR="00E33FDE" w:rsidRDefault="00C72D7D">
      <w:pPr>
        <w:pStyle w:val="TDC2"/>
        <w:tabs>
          <w:tab w:val="right" w:leader="dot" w:pos="9394"/>
        </w:tabs>
        <w:rPr>
          <w:noProof/>
        </w:rPr>
      </w:pPr>
      <w:hyperlink w:anchor="_Toc235107959" w:history="1">
        <w:r>
          <w:rPr>
            <w:rStyle w:val="Hipervnculo"/>
            <w:noProof/>
          </w:rPr>
          <w:t>1.2 Relación Estado-ciudadanía en el sector minero</w:t>
        </w:r>
        <w:r>
          <w:rPr>
            <w:noProof/>
          </w:rPr>
          <w:tab/>
        </w:r>
        <w:r>
          <w:rPr>
            <w:noProof/>
          </w:rPr>
          <w:fldChar w:fldCharType="begin" w:fldLock="1"/>
        </w:r>
        <w:r>
          <w:rPr>
            <w:noProof/>
          </w:rPr>
          <w:instrText xml:space="preserve"> PAGEREF _Toc235107959 \h </w:instrText>
        </w:r>
        <w:r>
          <w:rPr>
            <w:noProof/>
          </w:rPr>
        </w:r>
        <w:r>
          <w:rPr>
            <w:noProof/>
          </w:rPr>
          <w:fldChar w:fldCharType="separate"/>
        </w:r>
        <w:r>
          <w:rPr>
            <w:noProof/>
          </w:rPr>
          <w:t>42</w:t>
        </w:r>
        <w:r>
          <w:rPr>
            <w:noProof/>
          </w:rPr>
          <w:fldChar w:fldCharType="end"/>
        </w:r>
      </w:hyperlink>
    </w:p>
    <w:p w14:paraId="0ACEB004" w14:textId="77777777" w:rsidR="00E33FDE" w:rsidRDefault="00C72D7D">
      <w:pPr>
        <w:pStyle w:val="TDC2"/>
        <w:tabs>
          <w:tab w:val="right" w:leader="dot" w:pos="9394"/>
        </w:tabs>
        <w:rPr>
          <w:noProof/>
        </w:rPr>
      </w:pPr>
      <w:hyperlink w:anchor="_Toc235107960" w:history="1">
        <w:r>
          <w:rPr>
            <w:rStyle w:val="Hipervnculo"/>
            <w:noProof/>
          </w:rPr>
          <w:t>1.3 Sobre la relevancia de la construcción de un pivote de minería para Colombia</w:t>
        </w:r>
        <w:r>
          <w:rPr>
            <w:noProof/>
          </w:rPr>
          <w:tab/>
        </w:r>
        <w:r>
          <w:rPr>
            <w:noProof/>
          </w:rPr>
          <w:fldChar w:fldCharType="begin" w:fldLock="1"/>
        </w:r>
        <w:r>
          <w:rPr>
            <w:noProof/>
          </w:rPr>
          <w:instrText xml:space="preserve"> PAGEREF _Toc235107960 \h </w:instrText>
        </w:r>
        <w:r>
          <w:rPr>
            <w:noProof/>
          </w:rPr>
        </w:r>
        <w:r>
          <w:rPr>
            <w:noProof/>
          </w:rPr>
          <w:fldChar w:fldCharType="separate"/>
        </w:r>
        <w:r>
          <w:rPr>
            <w:noProof/>
          </w:rPr>
          <w:t>43</w:t>
        </w:r>
        <w:r>
          <w:rPr>
            <w:noProof/>
          </w:rPr>
          <w:fldChar w:fldCharType="end"/>
        </w:r>
      </w:hyperlink>
    </w:p>
    <w:p w14:paraId="36434DB7" w14:textId="77777777" w:rsidR="00E33FDE" w:rsidRDefault="00C72D7D">
      <w:pPr>
        <w:pStyle w:val="TDC1"/>
        <w:tabs>
          <w:tab w:val="right" w:leader="dot" w:pos="9394"/>
        </w:tabs>
        <w:rPr>
          <w:noProof/>
        </w:rPr>
      </w:pPr>
      <w:hyperlink w:anchor="_Toc235107961" w:history="1">
        <w:r>
          <w:rPr>
            <w:rStyle w:val="Hipervnculo"/>
            <w:noProof/>
          </w:rPr>
          <w:t>Marco teórico</w:t>
        </w:r>
        <w:r>
          <w:rPr>
            <w:noProof/>
          </w:rPr>
          <w:tab/>
        </w:r>
        <w:r>
          <w:rPr>
            <w:noProof/>
          </w:rPr>
          <w:fldChar w:fldCharType="begin" w:fldLock="1"/>
        </w:r>
        <w:r>
          <w:rPr>
            <w:noProof/>
          </w:rPr>
          <w:instrText xml:space="preserve"> PAGEREF _</w:instrText>
        </w:r>
        <w:r>
          <w:rPr>
            <w:noProof/>
          </w:rPr>
          <w:instrText xml:space="preserve">Toc235107961 \h </w:instrText>
        </w:r>
        <w:r>
          <w:rPr>
            <w:noProof/>
          </w:rPr>
        </w:r>
        <w:r>
          <w:rPr>
            <w:noProof/>
          </w:rPr>
          <w:fldChar w:fldCharType="separate"/>
        </w:r>
        <w:r>
          <w:rPr>
            <w:noProof/>
          </w:rPr>
          <w:t>43</w:t>
        </w:r>
        <w:r>
          <w:rPr>
            <w:noProof/>
          </w:rPr>
          <w:fldChar w:fldCharType="end"/>
        </w:r>
      </w:hyperlink>
    </w:p>
    <w:p w14:paraId="4F092B2A" w14:textId="77777777" w:rsidR="00E33FDE" w:rsidRDefault="00C72D7D">
      <w:pPr>
        <w:pStyle w:val="TDC2"/>
        <w:tabs>
          <w:tab w:val="right" w:leader="dot" w:pos="9394"/>
        </w:tabs>
        <w:rPr>
          <w:noProof/>
        </w:rPr>
      </w:pPr>
      <w:hyperlink w:anchor="_Toc235107962" w:history="1">
        <w:r>
          <w:rPr>
            <w:rStyle w:val="Hipervnculo"/>
            <w:noProof/>
          </w:rPr>
          <w:t>2.1 Aproximaciones al desarrollo y al post-desarrollo en gestión pública</w:t>
        </w:r>
        <w:r>
          <w:rPr>
            <w:noProof/>
          </w:rPr>
          <w:tab/>
        </w:r>
        <w:r>
          <w:rPr>
            <w:noProof/>
          </w:rPr>
          <w:fldChar w:fldCharType="begin" w:fldLock="1"/>
        </w:r>
        <w:r>
          <w:rPr>
            <w:noProof/>
          </w:rPr>
          <w:instrText xml:space="preserve"> PAGEREF _Toc235107962 \h </w:instrText>
        </w:r>
        <w:r>
          <w:rPr>
            <w:noProof/>
          </w:rPr>
        </w:r>
        <w:r>
          <w:rPr>
            <w:noProof/>
          </w:rPr>
          <w:fldChar w:fldCharType="separate"/>
        </w:r>
        <w:r>
          <w:rPr>
            <w:noProof/>
          </w:rPr>
          <w:t>43</w:t>
        </w:r>
        <w:r>
          <w:rPr>
            <w:noProof/>
          </w:rPr>
          <w:fldChar w:fldCharType="end"/>
        </w:r>
      </w:hyperlink>
    </w:p>
    <w:p w14:paraId="2DC9C140" w14:textId="77777777" w:rsidR="00E33FDE" w:rsidRDefault="00C72D7D">
      <w:pPr>
        <w:pStyle w:val="TDC1"/>
        <w:tabs>
          <w:tab w:val="right" w:leader="dot" w:pos="9394"/>
        </w:tabs>
        <w:rPr>
          <w:noProof/>
        </w:rPr>
      </w:pPr>
      <w:hyperlink w:anchor="_Toc235107965" w:history="1">
        <w:r>
          <w:rPr>
            <w:rStyle w:val="Hipervnculo"/>
            <w:noProof/>
          </w:rPr>
          <w:t>Problemática</w:t>
        </w:r>
        <w:r>
          <w:rPr>
            <w:noProof/>
          </w:rPr>
          <w:tab/>
        </w:r>
        <w:r>
          <w:rPr>
            <w:noProof/>
          </w:rPr>
          <w:fldChar w:fldCharType="begin" w:fldLock="1"/>
        </w:r>
        <w:r>
          <w:rPr>
            <w:noProof/>
          </w:rPr>
          <w:instrText xml:space="preserve"> PAGEREF _Toc235107965 \h </w:instrText>
        </w:r>
        <w:r>
          <w:rPr>
            <w:noProof/>
          </w:rPr>
        </w:r>
        <w:r>
          <w:rPr>
            <w:noProof/>
          </w:rPr>
          <w:fldChar w:fldCharType="separate"/>
        </w:r>
        <w:r>
          <w:rPr>
            <w:noProof/>
          </w:rPr>
          <w:t>46</w:t>
        </w:r>
        <w:r>
          <w:rPr>
            <w:noProof/>
          </w:rPr>
          <w:fldChar w:fldCharType="end"/>
        </w:r>
      </w:hyperlink>
    </w:p>
    <w:p w14:paraId="300789AB" w14:textId="77777777" w:rsidR="00E33FDE" w:rsidRDefault="00C72D7D">
      <w:pPr>
        <w:pStyle w:val="TDC1"/>
        <w:tabs>
          <w:tab w:val="right" w:leader="dot" w:pos="9394"/>
        </w:tabs>
        <w:rPr>
          <w:noProof/>
        </w:rPr>
      </w:pPr>
      <w:hyperlink w:anchor="_Toc235107966" w:history="1">
        <w:r>
          <w:rPr>
            <w:rStyle w:val="Hipervnculo"/>
            <w:noProof/>
          </w:rPr>
          <w:t>Objetivos</w:t>
        </w:r>
        <w:r>
          <w:rPr>
            <w:noProof/>
          </w:rPr>
          <w:tab/>
        </w:r>
        <w:r>
          <w:rPr>
            <w:noProof/>
          </w:rPr>
          <w:fldChar w:fldCharType="begin" w:fldLock="1"/>
        </w:r>
        <w:r>
          <w:rPr>
            <w:noProof/>
          </w:rPr>
          <w:instrText xml:space="preserve"> PAGER</w:instrText>
        </w:r>
        <w:r>
          <w:rPr>
            <w:noProof/>
          </w:rPr>
          <w:instrText xml:space="preserve">EF _Toc235107966 \h </w:instrText>
        </w:r>
        <w:r>
          <w:rPr>
            <w:noProof/>
          </w:rPr>
        </w:r>
        <w:r>
          <w:rPr>
            <w:noProof/>
          </w:rPr>
          <w:fldChar w:fldCharType="separate"/>
        </w:r>
        <w:r>
          <w:rPr>
            <w:noProof/>
          </w:rPr>
          <w:t>51</w:t>
        </w:r>
        <w:r>
          <w:rPr>
            <w:noProof/>
          </w:rPr>
          <w:fldChar w:fldCharType="end"/>
        </w:r>
      </w:hyperlink>
    </w:p>
    <w:p w14:paraId="2C3941A9" w14:textId="77777777" w:rsidR="00E33FDE" w:rsidRDefault="00C72D7D">
      <w:pPr>
        <w:pStyle w:val="TDC2"/>
        <w:tabs>
          <w:tab w:val="right" w:leader="dot" w:pos="9394"/>
        </w:tabs>
        <w:rPr>
          <w:noProof/>
        </w:rPr>
      </w:pPr>
      <w:hyperlink w:anchor="_Toc235107967" w:history="1">
        <w:r>
          <w:rPr>
            <w:rStyle w:val="Hipervnculo"/>
            <w:noProof/>
          </w:rPr>
          <w:t>Objetivo general</w:t>
        </w:r>
        <w:r>
          <w:rPr>
            <w:noProof/>
          </w:rPr>
          <w:tab/>
        </w:r>
        <w:r>
          <w:rPr>
            <w:noProof/>
          </w:rPr>
          <w:fldChar w:fldCharType="begin" w:fldLock="1"/>
        </w:r>
        <w:r>
          <w:rPr>
            <w:noProof/>
          </w:rPr>
          <w:instrText xml:space="preserve"> PAGEREF _Toc235107967 \h </w:instrText>
        </w:r>
        <w:r>
          <w:rPr>
            <w:noProof/>
          </w:rPr>
        </w:r>
        <w:r>
          <w:rPr>
            <w:noProof/>
          </w:rPr>
          <w:fldChar w:fldCharType="separate"/>
        </w:r>
        <w:r>
          <w:rPr>
            <w:noProof/>
          </w:rPr>
          <w:t>51</w:t>
        </w:r>
        <w:r>
          <w:rPr>
            <w:noProof/>
          </w:rPr>
          <w:fldChar w:fldCharType="end"/>
        </w:r>
      </w:hyperlink>
    </w:p>
    <w:p w14:paraId="2B98B063" w14:textId="77777777" w:rsidR="00E33FDE" w:rsidRDefault="00C72D7D">
      <w:pPr>
        <w:pStyle w:val="TDC2"/>
        <w:tabs>
          <w:tab w:val="right" w:leader="dot" w:pos="9394"/>
        </w:tabs>
        <w:rPr>
          <w:noProof/>
        </w:rPr>
      </w:pPr>
      <w:hyperlink w:anchor="_Toc235107968" w:history="1">
        <w:r>
          <w:rPr>
            <w:rStyle w:val="Hipervnculo"/>
            <w:noProof/>
          </w:rPr>
          <w:t>Objetivos específicos</w:t>
        </w:r>
        <w:r>
          <w:rPr>
            <w:noProof/>
          </w:rPr>
          <w:tab/>
        </w:r>
        <w:r>
          <w:rPr>
            <w:noProof/>
          </w:rPr>
          <w:fldChar w:fldCharType="begin" w:fldLock="1"/>
        </w:r>
        <w:r>
          <w:rPr>
            <w:noProof/>
          </w:rPr>
          <w:instrText xml:space="preserve"> PAGEREF _Toc235107968 \h </w:instrText>
        </w:r>
        <w:r>
          <w:rPr>
            <w:noProof/>
          </w:rPr>
        </w:r>
        <w:r>
          <w:rPr>
            <w:noProof/>
          </w:rPr>
          <w:fldChar w:fldCharType="separate"/>
        </w:r>
        <w:r>
          <w:rPr>
            <w:noProof/>
          </w:rPr>
          <w:t>51</w:t>
        </w:r>
        <w:r>
          <w:rPr>
            <w:noProof/>
          </w:rPr>
          <w:fldChar w:fldCharType="end"/>
        </w:r>
      </w:hyperlink>
    </w:p>
    <w:p w14:paraId="1BB37E17" w14:textId="77777777" w:rsidR="00E33FDE" w:rsidRDefault="00C72D7D">
      <w:pPr>
        <w:pStyle w:val="TDC1"/>
        <w:tabs>
          <w:tab w:val="right" w:leader="dot" w:pos="9394"/>
        </w:tabs>
        <w:rPr>
          <w:noProof/>
        </w:rPr>
      </w:pPr>
      <w:hyperlink w:anchor="_Toc235107969" w:history="1">
        <w:r>
          <w:rPr>
            <w:rStyle w:val="Hipervnculo"/>
            <w:noProof/>
          </w:rPr>
          <w:t>Metodología</w:t>
        </w:r>
        <w:r>
          <w:rPr>
            <w:noProof/>
          </w:rPr>
          <w:tab/>
        </w:r>
        <w:r>
          <w:rPr>
            <w:noProof/>
          </w:rPr>
          <w:fldChar w:fldCharType="begin" w:fldLock="1"/>
        </w:r>
        <w:r>
          <w:rPr>
            <w:noProof/>
          </w:rPr>
          <w:instrText xml:space="preserve"> PAGEREF _Toc235107969 \h </w:instrText>
        </w:r>
        <w:r>
          <w:rPr>
            <w:noProof/>
          </w:rPr>
        </w:r>
        <w:r>
          <w:rPr>
            <w:noProof/>
          </w:rPr>
          <w:fldChar w:fldCharType="separate"/>
        </w:r>
        <w:r>
          <w:rPr>
            <w:noProof/>
          </w:rPr>
          <w:t>51</w:t>
        </w:r>
        <w:r>
          <w:rPr>
            <w:noProof/>
          </w:rPr>
          <w:fldChar w:fldCharType="end"/>
        </w:r>
      </w:hyperlink>
    </w:p>
    <w:p w14:paraId="4FF8EDB4" w14:textId="77777777" w:rsidR="00E33FDE" w:rsidRDefault="00C72D7D">
      <w:pPr>
        <w:pStyle w:val="TDC2"/>
        <w:tabs>
          <w:tab w:val="right" w:leader="dot" w:pos="9394"/>
        </w:tabs>
        <w:rPr>
          <w:noProof/>
        </w:rPr>
      </w:pPr>
      <w:hyperlink w:anchor="_Toc235107970" w:history="1">
        <w:r>
          <w:rPr>
            <w:rStyle w:val="Hipervnculo"/>
            <w:noProof/>
          </w:rPr>
          <w:t>Abordaje técnico de las relaciones entre ciudadanía productiva y Gobierno Nacional</w:t>
        </w:r>
        <w:r>
          <w:rPr>
            <w:noProof/>
          </w:rPr>
          <w:tab/>
        </w:r>
        <w:r>
          <w:rPr>
            <w:noProof/>
          </w:rPr>
          <w:fldChar w:fldCharType="begin" w:fldLock="1"/>
        </w:r>
        <w:r>
          <w:rPr>
            <w:noProof/>
          </w:rPr>
          <w:instrText xml:space="preserve"> PAGEREF _Toc235107970 \h </w:instrText>
        </w:r>
        <w:r>
          <w:rPr>
            <w:noProof/>
          </w:rPr>
        </w:r>
        <w:r>
          <w:rPr>
            <w:noProof/>
          </w:rPr>
          <w:fldChar w:fldCharType="separate"/>
        </w:r>
        <w:r>
          <w:rPr>
            <w:noProof/>
          </w:rPr>
          <w:t>51</w:t>
        </w:r>
        <w:r>
          <w:rPr>
            <w:noProof/>
          </w:rPr>
          <w:fldChar w:fldCharType="end"/>
        </w:r>
      </w:hyperlink>
    </w:p>
    <w:p w14:paraId="1BC3F8D2" w14:textId="77777777" w:rsidR="00E33FDE" w:rsidRDefault="00C72D7D">
      <w:pPr>
        <w:pStyle w:val="TDC2"/>
        <w:tabs>
          <w:tab w:val="right" w:leader="dot" w:pos="9394"/>
        </w:tabs>
        <w:rPr>
          <w:noProof/>
        </w:rPr>
      </w:pPr>
      <w:hyperlink w:anchor="_Toc235107971" w:history="1">
        <w:r>
          <w:rPr>
            <w:rStyle w:val="Hipervnculo"/>
            <w:noProof/>
          </w:rPr>
          <w:t>Planteamiento investigativo</w:t>
        </w:r>
        <w:r>
          <w:rPr>
            <w:noProof/>
          </w:rPr>
          <w:tab/>
        </w:r>
        <w:r>
          <w:rPr>
            <w:noProof/>
          </w:rPr>
          <w:fldChar w:fldCharType="begin" w:fldLock="1"/>
        </w:r>
        <w:r>
          <w:rPr>
            <w:noProof/>
          </w:rPr>
          <w:instrText xml:space="preserve"> PAGEREF _Toc235107971 \h </w:instrText>
        </w:r>
        <w:r>
          <w:rPr>
            <w:noProof/>
          </w:rPr>
        </w:r>
        <w:r>
          <w:rPr>
            <w:noProof/>
          </w:rPr>
          <w:fldChar w:fldCharType="separate"/>
        </w:r>
        <w:r>
          <w:rPr>
            <w:noProof/>
          </w:rPr>
          <w:t>52</w:t>
        </w:r>
        <w:r>
          <w:rPr>
            <w:noProof/>
          </w:rPr>
          <w:fldChar w:fldCharType="end"/>
        </w:r>
      </w:hyperlink>
    </w:p>
    <w:p w14:paraId="482D4F61" w14:textId="77777777" w:rsidR="00E33FDE" w:rsidRDefault="00C72D7D">
      <w:pPr>
        <w:pStyle w:val="TDC2"/>
        <w:tabs>
          <w:tab w:val="right" w:leader="dot" w:pos="9394"/>
        </w:tabs>
        <w:rPr>
          <w:noProof/>
        </w:rPr>
      </w:pPr>
      <w:hyperlink w:anchor="_Toc235107972" w:history="1">
        <w:r>
          <w:rPr>
            <w:rStyle w:val="Hipervnculo"/>
            <w:noProof/>
          </w:rPr>
          <w:t>Revisión y análisis documental</w:t>
        </w:r>
        <w:r>
          <w:rPr>
            <w:noProof/>
          </w:rPr>
          <w:tab/>
        </w:r>
        <w:r>
          <w:rPr>
            <w:noProof/>
          </w:rPr>
          <w:fldChar w:fldCharType="begin" w:fldLock="1"/>
        </w:r>
        <w:r>
          <w:rPr>
            <w:noProof/>
          </w:rPr>
          <w:instrText xml:space="preserve"> PAGEREF _Toc235107972 \h </w:instrText>
        </w:r>
        <w:r>
          <w:rPr>
            <w:noProof/>
          </w:rPr>
        </w:r>
        <w:r>
          <w:rPr>
            <w:noProof/>
          </w:rPr>
          <w:fldChar w:fldCharType="separate"/>
        </w:r>
        <w:r>
          <w:rPr>
            <w:noProof/>
          </w:rPr>
          <w:t>53</w:t>
        </w:r>
        <w:r>
          <w:rPr>
            <w:noProof/>
          </w:rPr>
          <w:fldChar w:fldCharType="end"/>
        </w:r>
      </w:hyperlink>
    </w:p>
    <w:p w14:paraId="0D4B13D5" w14:textId="77777777" w:rsidR="00E33FDE" w:rsidRDefault="00C72D7D">
      <w:pPr>
        <w:pStyle w:val="TDC2"/>
        <w:tabs>
          <w:tab w:val="right" w:leader="dot" w:pos="9394"/>
        </w:tabs>
        <w:rPr>
          <w:noProof/>
        </w:rPr>
      </w:pPr>
      <w:hyperlink w:anchor="_Toc235107973" w:history="1">
        <w:r>
          <w:rPr>
            <w:rStyle w:val="Hipervnculo"/>
            <w:noProof/>
          </w:rPr>
          <w:t>Entrevistas representantes gubernamentales nacionales y extranjeros</w:t>
        </w:r>
        <w:r>
          <w:rPr>
            <w:noProof/>
          </w:rPr>
          <w:tab/>
        </w:r>
        <w:r>
          <w:rPr>
            <w:noProof/>
          </w:rPr>
          <w:fldChar w:fldCharType="begin" w:fldLock="1"/>
        </w:r>
        <w:r>
          <w:rPr>
            <w:noProof/>
          </w:rPr>
          <w:instrText xml:space="preserve"> PAGEREF _Toc235107973 \h </w:instrText>
        </w:r>
        <w:r>
          <w:rPr>
            <w:noProof/>
          </w:rPr>
        </w:r>
        <w:r>
          <w:rPr>
            <w:noProof/>
          </w:rPr>
          <w:fldChar w:fldCharType="separate"/>
        </w:r>
        <w:r>
          <w:rPr>
            <w:noProof/>
          </w:rPr>
          <w:t>56</w:t>
        </w:r>
        <w:r>
          <w:rPr>
            <w:noProof/>
          </w:rPr>
          <w:fldChar w:fldCharType="end"/>
        </w:r>
      </w:hyperlink>
    </w:p>
    <w:p w14:paraId="144492D2" w14:textId="77777777" w:rsidR="00E33FDE" w:rsidRDefault="00C72D7D">
      <w:pPr>
        <w:pStyle w:val="TDC1"/>
        <w:tabs>
          <w:tab w:val="right" w:leader="dot" w:pos="9394"/>
        </w:tabs>
        <w:rPr>
          <w:noProof/>
        </w:rPr>
      </w:pPr>
      <w:hyperlink w:anchor="_Toc235107974" w:history="1">
        <w:r>
          <w:rPr>
            <w:rStyle w:val="Hipervnculo"/>
            <w:noProof/>
          </w:rPr>
          <w:t>Análisis crítico del discurso</w:t>
        </w:r>
        <w:r>
          <w:rPr>
            <w:noProof/>
          </w:rPr>
          <w:tab/>
        </w:r>
        <w:r>
          <w:rPr>
            <w:noProof/>
          </w:rPr>
          <w:fldChar w:fldCharType="begin" w:fldLock="1"/>
        </w:r>
        <w:r>
          <w:rPr>
            <w:noProof/>
          </w:rPr>
          <w:instrText xml:space="preserve"> PAGEREF _Toc235107974 \h </w:instrText>
        </w:r>
        <w:r>
          <w:rPr>
            <w:noProof/>
          </w:rPr>
        </w:r>
        <w:r>
          <w:rPr>
            <w:noProof/>
          </w:rPr>
          <w:fldChar w:fldCharType="separate"/>
        </w:r>
        <w:r>
          <w:rPr>
            <w:noProof/>
          </w:rPr>
          <w:t>57</w:t>
        </w:r>
        <w:r>
          <w:rPr>
            <w:noProof/>
          </w:rPr>
          <w:fldChar w:fldCharType="end"/>
        </w:r>
      </w:hyperlink>
    </w:p>
    <w:p w14:paraId="25C13DDC" w14:textId="77777777" w:rsidR="00E33FDE" w:rsidRDefault="00C72D7D">
      <w:pPr>
        <w:pStyle w:val="TDC1"/>
        <w:tabs>
          <w:tab w:val="right" w:leader="dot" w:pos="9394"/>
        </w:tabs>
        <w:rPr>
          <w:noProof/>
        </w:rPr>
      </w:pPr>
      <w:hyperlink w:anchor="_Toc235107975" w:history="1">
        <w:r>
          <w:rPr>
            <w:rStyle w:val="Hipervnculo"/>
            <w:noProof/>
          </w:rPr>
          <w:t>Referencias</w:t>
        </w:r>
        <w:r>
          <w:rPr>
            <w:noProof/>
          </w:rPr>
          <w:tab/>
        </w:r>
        <w:r>
          <w:rPr>
            <w:noProof/>
          </w:rPr>
          <w:fldChar w:fldCharType="begin" w:fldLock="1"/>
        </w:r>
        <w:r>
          <w:rPr>
            <w:noProof/>
          </w:rPr>
          <w:instrText xml:space="preserve"> PAGEREF _Toc235107975 \h </w:instrText>
        </w:r>
        <w:r>
          <w:rPr>
            <w:noProof/>
          </w:rPr>
        </w:r>
        <w:r>
          <w:rPr>
            <w:noProof/>
          </w:rPr>
          <w:fldChar w:fldCharType="separate"/>
        </w:r>
        <w:r>
          <w:rPr>
            <w:noProof/>
          </w:rPr>
          <w:t>58</w:t>
        </w:r>
        <w:r>
          <w:rPr>
            <w:noProof/>
          </w:rPr>
          <w:fldChar w:fldCharType="end"/>
        </w:r>
      </w:hyperlink>
    </w:p>
    <w:p w14:paraId="016EE3E9" w14:textId="77777777" w:rsidR="008757C2" w:rsidRDefault="008757C2" w:rsidP="00CD0C90">
      <w:pPr>
        <w:jc w:val="center"/>
        <w:rPr>
          <w:rFonts w:asciiTheme="majorHAnsi" w:hAnsiTheme="majorHAnsi" w:cstheme="majorHAnsi"/>
          <w:b/>
          <w:bCs/>
          <w:color w:val="D49E21"/>
          <w:sz w:val="96"/>
          <w:szCs w:val="96"/>
        </w:rPr>
      </w:pPr>
    </w:p>
    <w:p w14:paraId="10CC218B" w14:textId="77777777" w:rsidR="008B3252" w:rsidRPr="004D6A67" w:rsidRDefault="008B3252" w:rsidP="00A86834">
      <w:pPr>
        <w:pStyle w:val="Ttulo1"/>
      </w:pPr>
      <w:bookmarkStart w:id="81" w:name="_Toc235107957"/>
      <w:r w:rsidRPr="004D6A67">
        <w:lastRenderedPageBreak/>
        <w:t>Introducción</w:t>
      </w:r>
      <w:bookmarkEnd w:id="81"/>
    </w:p>
    <w:p w14:paraId="022F8760" w14:textId="77777777" w:rsidR="008B3252" w:rsidRPr="004D6A67" w:rsidRDefault="008B3252" w:rsidP="00985B97">
      <w:pPr>
        <w:pStyle w:val="Ttulo2"/>
      </w:pPr>
      <w:bookmarkStart w:id="82" w:name="_Toc235107958"/>
      <w:r w:rsidRPr="004D6A67">
        <w:t>1.1 La configuración actual del sector minero en Colombia y el pivote de minería</w:t>
      </w:r>
      <w:bookmarkEnd w:id="82"/>
    </w:p>
    <w:p w14:paraId="746911FD" w14:textId="77777777" w:rsidR="008B3252" w:rsidRPr="004D6A67" w:rsidRDefault="008B3252" w:rsidP="00985B97">
      <w:pPr>
        <w:pBdr>
          <w:top w:val="nil"/>
          <w:left w:val="nil"/>
          <w:bottom w:val="nil"/>
          <w:right w:val="nil"/>
          <w:between w:val="nil"/>
        </w:pBdr>
        <w:jc w:val="both"/>
      </w:pPr>
      <w:r w:rsidRPr="004D6A67">
        <w:t xml:space="preserve">El pivote de minería se constituye como uno de los cuatro componentes por sector del Plan Estratégico Sectorial del proyecto de inversión titulado “Fortalecimiento del Análisis Estratégico Sectorial y Legislativo del Ministerio de Minas y Energía en el Marco de la Transición Energética Justa”. </w:t>
      </w:r>
    </w:p>
    <w:p w14:paraId="7DE405E1" w14:textId="77777777" w:rsidR="008B3252" w:rsidRPr="004D6A67" w:rsidRDefault="008B3252" w:rsidP="00985B97">
      <w:pPr>
        <w:pBdr>
          <w:top w:val="nil"/>
          <w:left w:val="nil"/>
          <w:bottom w:val="nil"/>
          <w:right w:val="nil"/>
          <w:between w:val="nil"/>
        </w:pBdr>
        <w:jc w:val="both"/>
      </w:pPr>
      <w:r w:rsidRPr="004D6A67">
        <w:t xml:space="preserve">Este apartado integra los elementos fundamentales para la comprensión del sector minero y la configuración del mismo a través de sus dimensiones generales, desde el plano territorial, social, ambiental y la gestión pública; pero también, integra unas dimensiones particulares, que permiten una comprensión del sector en sus escenarios productivos, ecosistémicos, empresariales y normativos. </w:t>
      </w:r>
    </w:p>
    <w:p w14:paraId="2FC279F5" w14:textId="77777777" w:rsidR="008B3252" w:rsidRPr="004D6A67" w:rsidRDefault="008B3252" w:rsidP="00985B97">
      <w:pPr>
        <w:pBdr>
          <w:top w:val="nil"/>
          <w:left w:val="nil"/>
          <w:bottom w:val="nil"/>
          <w:right w:val="nil"/>
          <w:between w:val="nil"/>
        </w:pBdr>
        <w:jc w:val="both"/>
      </w:pPr>
      <w:r w:rsidRPr="004D6A67">
        <w:t>Para el año 2026, se resaltan, en el marco de la Transición Energética Justa (TEJ), varios avances frente a los procesos de formalización y atención de las comunidades mineras, además de la sofisticación de las políticas públicas y condiciones institucionales que permiten, en la misma línea de la ejecución del Plan Nacional de Desarrollo 2022-2026, un acercamiento importante a técnicas de fortalecimiento institucional que estrechen los lazos de confianza con la ciudadanía, particularmente, en este caso, frente a las comunidades mineras, la arquitectura institucional relacionada con la producción minera y el Estado en general (Ministerio de Minas y Energía, documento de formulación del proyecto Fortalecimiento del análisis estratégico sectorial y legislativo del Ministerio de Minas y Energía en el marco de la Transición Energética Justa, 2025)</w:t>
      </w:r>
    </w:p>
    <w:p w14:paraId="52CD7129" w14:textId="77777777" w:rsidR="008B3252" w:rsidRPr="004D6A67" w:rsidRDefault="008B3252" w:rsidP="00985B97">
      <w:pPr>
        <w:pBdr>
          <w:top w:val="nil"/>
          <w:left w:val="nil"/>
          <w:bottom w:val="nil"/>
          <w:right w:val="nil"/>
          <w:between w:val="nil"/>
        </w:pBdr>
        <w:jc w:val="both"/>
      </w:pPr>
      <w:r w:rsidRPr="004D6A67">
        <w:t>Igualmente, aludiendo a los documentos normativos que sustentan las orientaciones relacionadas con el sector minero en Colombia, resulta fundamental traer a colación las recomendaciones que se realizan desde el Plan Nacional de Desarrollo Minero en el desempeño de sus tres fases correspondientes:</w:t>
      </w:r>
    </w:p>
    <w:p w14:paraId="2E7B24D6" w14:textId="77777777" w:rsidR="008B3252" w:rsidRPr="004D6A67" w:rsidRDefault="008B3252" w:rsidP="00985B97">
      <w:pPr>
        <w:pBdr>
          <w:top w:val="nil"/>
          <w:left w:val="nil"/>
          <w:bottom w:val="nil"/>
          <w:right w:val="nil"/>
          <w:between w:val="nil"/>
        </w:pBdr>
        <w:jc w:val="both"/>
      </w:pPr>
      <w:r w:rsidRPr="004D6A67">
        <w:t xml:space="preserve">Fase 1. “Diagnóstico sectorial – desde los territorios”, desarrollado en 2022 y el cual analiza las particularidades geográficas, sociales, económicas y ambientales de cada región con el fin de comprender la situación actual del sector minero en Colombia; “Fase 2. Escenarios mineros – Planificando el futuro”, desarrollado en 2023, el cual detalla posibles escenarios a futuro para el sector minero en Colombia, los cuales, junto con otras herramientas de simulación desarrolladas, permiten considerar las incertidumbres </w:t>
      </w:r>
      <w:r w:rsidRPr="004D6A67">
        <w:lastRenderedPageBreak/>
        <w:t>de largo plazo en la planificación del sector minero; y “Fase 3. PNDM: estrategias y acciones”, que define la visión y ejes estratégicos del Plan, así como las acciones necesarias para cumplir con los objetivos. Esta última fase es la materialización de la visión y la senda hacia un futuro minero próspero y responsable. (Unidad de Planeación Minero-Energética, Plan Nacional de Desarrollo Minero 2024-2035)</w:t>
      </w:r>
    </w:p>
    <w:p w14:paraId="4540F1A5" w14:textId="77777777" w:rsidR="008B3252" w:rsidRPr="004D6A67" w:rsidRDefault="008B3252" w:rsidP="00985B97">
      <w:pPr>
        <w:pStyle w:val="Ttulo2"/>
      </w:pPr>
      <w:bookmarkStart w:id="83" w:name="_Toc235107959"/>
      <w:r w:rsidRPr="004D6A67">
        <w:t>1.2 Relación Estado-ciudadanía en el sector minero</w:t>
      </w:r>
      <w:bookmarkEnd w:id="83"/>
    </w:p>
    <w:p w14:paraId="678320DA" w14:textId="77777777" w:rsidR="008B3252" w:rsidRPr="004D6A67" w:rsidRDefault="008B3252" w:rsidP="00985B97">
      <w:pPr>
        <w:pBdr>
          <w:top w:val="nil"/>
          <w:left w:val="nil"/>
          <w:bottom w:val="nil"/>
          <w:right w:val="nil"/>
          <w:between w:val="nil"/>
        </w:pBdr>
        <w:jc w:val="both"/>
      </w:pPr>
      <w:r w:rsidRPr="004D6A67">
        <w:t xml:space="preserve">Con base en los lineamientos de las fases de la Transición Energética Justa y el Plan Nacional de Desarrollo Minero, la propuesta de este pivote reconoce la importancia del fortalecimiento institucional. Este proceso, enfocado en la mejora de las capacidades, estructuras y mecanismos de las entidades competentes, debe alinearse con las estrategias de gobernanza y promoción del sector. En este sentido, el diseño de estas técnicas está atravesado por la necesidad de estrechar los lazos de confianza con la ciudadanía y, particularmente, con las comunidades mineras. Así, la articulación entre el Estado y la arquitectura institucional permitirá potenciar los recursos necesarios (humanos, financieros, técnicos y normativos) para impulsar una minería que aporte al desarrollo del país y minimice sus impactos negativos (Unidad de Planeación Minero Energética, 2026). </w:t>
      </w:r>
    </w:p>
    <w:p w14:paraId="2C904A33" w14:textId="77777777" w:rsidR="008B3252" w:rsidRPr="004D6A67" w:rsidRDefault="008B3252" w:rsidP="00985B97">
      <w:pPr>
        <w:pBdr>
          <w:top w:val="nil"/>
          <w:left w:val="nil"/>
          <w:bottom w:val="nil"/>
          <w:right w:val="nil"/>
          <w:between w:val="nil"/>
        </w:pBdr>
        <w:jc w:val="both"/>
      </w:pPr>
      <w:r w:rsidRPr="004D6A67">
        <w:t xml:space="preserve">La adopción de este tipo de técnicas de fortalecimiento institucional aunadas a un relacionamiento estrecho con las comunidades mineras y con un impulso estructural del funcionamiento de las entidades, permitirá, en términos normativos, una materialización de los principios de estabilidad jurídica, fortalecimiento de la autoridad minera, mejoramiento de capacidad de respuesta de las entidades, la instalación de una gobernanza territorial para una minería con propósito y, finalmente una institucionalidad ajustada a las realidades y demandas del sector minero (Unidad de Planeación Minero Energética, 2026). </w:t>
      </w:r>
    </w:p>
    <w:p w14:paraId="367B5BCC" w14:textId="77777777" w:rsidR="008B3252" w:rsidRPr="004D6A67" w:rsidRDefault="008B3252" w:rsidP="00985B97">
      <w:pPr>
        <w:pStyle w:val="Ttulo2"/>
      </w:pPr>
      <w:bookmarkStart w:id="84" w:name="_Toc235107960"/>
      <w:r w:rsidRPr="004D6A67">
        <w:t>1.3 Sobre la relevancia de la construcción de un pivote de minería para Colombia</w:t>
      </w:r>
      <w:bookmarkEnd w:id="84"/>
    </w:p>
    <w:p w14:paraId="357D6FB6" w14:textId="77777777" w:rsidR="008B3252" w:rsidRPr="004D6A67" w:rsidRDefault="008B3252" w:rsidP="00985B97">
      <w:pPr>
        <w:pBdr>
          <w:top w:val="nil"/>
          <w:left w:val="nil"/>
          <w:bottom w:val="nil"/>
          <w:right w:val="nil"/>
          <w:between w:val="nil"/>
        </w:pBdr>
        <w:jc w:val="both"/>
      </w:pPr>
      <w:r w:rsidRPr="004D6A67">
        <w:t xml:space="preserve">Esta forma de vinculación y relacionamiento entre el Estado y las comunidades mineras con un enfoque de dignidad comunitaria y sostenibilidad desde el ámbito ambiental y  productivo resulta relevante, no sólo por el carácter trascendental que juega el sector minero dentro de la consolidación del PIB nacional, sino también por el impacto que se puede generar en términos de la instalación de capacidades permanentes en los territorios, que si bien está mediada por un fortalecimiento de la normatividad y la </w:t>
      </w:r>
      <w:r w:rsidRPr="004D6A67">
        <w:lastRenderedPageBreak/>
        <w:t xml:space="preserve">institucionalidad estatal en materia de minería, también instará por una autonomía y soberanía comunitaria en la participación y toma de decisiones respectivas alrededor de los procesos productivos, de la intervención del territorio, la gestión de los recursos naturales y la dignidad humana, que permita la solidificación del sector, una mejor gestión administrativa del mismo y capacidades de autogestión comunitarias. </w:t>
      </w:r>
    </w:p>
    <w:p w14:paraId="2833615A" w14:textId="77777777" w:rsidR="008B3252" w:rsidRPr="004D6A67" w:rsidRDefault="008B3252" w:rsidP="00985B97">
      <w:pPr>
        <w:pBdr>
          <w:top w:val="nil"/>
          <w:left w:val="nil"/>
          <w:bottom w:val="nil"/>
          <w:right w:val="nil"/>
          <w:between w:val="nil"/>
        </w:pBdr>
        <w:jc w:val="both"/>
        <w:rPr>
          <w:shd w:val="clear" w:color="auto" w:fill="FCE5CD"/>
        </w:rPr>
      </w:pPr>
      <w:r w:rsidRPr="004D6A67">
        <w:t xml:space="preserve">El planteamiento a desarrollar a continuación busca, en esta misma línea, plantear desde un enfoque investigativo y normativo las posibilidades de exploración de un robustecimiento de las relaciones entre Estado y ciudadanía alrededor del sector minero y presentar propuestas que permitan una construcción conjunta de la política minera que atienda efectivamente las necesidades y problemáticas de los territorios productores y que a la vez, se oriente hacia una sostenibilidad económica, ambiental, normativa e institucional. </w:t>
      </w:r>
    </w:p>
    <w:p w14:paraId="562A7111" w14:textId="77777777" w:rsidR="008B3252" w:rsidRPr="004D6A67" w:rsidRDefault="008B3252" w:rsidP="00A86834">
      <w:pPr>
        <w:pStyle w:val="Ttulo1"/>
      </w:pPr>
      <w:bookmarkStart w:id="85" w:name="_Toc235107961"/>
      <w:r w:rsidRPr="004D6A67">
        <w:t>Marco teórico</w:t>
      </w:r>
      <w:bookmarkEnd w:id="85"/>
    </w:p>
    <w:p w14:paraId="35407BEF" w14:textId="77777777" w:rsidR="008B3252" w:rsidRPr="004D6A67" w:rsidRDefault="008B3252" w:rsidP="00985B97">
      <w:pPr>
        <w:pStyle w:val="Ttulo2"/>
      </w:pPr>
      <w:bookmarkStart w:id="86" w:name="_Toc235107962"/>
      <w:r w:rsidRPr="004D6A67">
        <w:t xml:space="preserve">2.1 Aproximaciones al desarrollo y al </w:t>
      </w:r>
      <w:proofErr w:type="spellStart"/>
      <w:r w:rsidRPr="004D6A67">
        <w:t>post-desarrollo</w:t>
      </w:r>
      <w:proofErr w:type="spellEnd"/>
      <w:r w:rsidRPr="004D6A67">
        <w:t xml:space="preserve"> en gestión pública</w:t>
      </w:r>
      <w:bookmarkEnd w:id="86"/>
    </w:p>
    <w:p w14:paraId="05DF42BD" w14:textId="77777777" w:rsidR="008B3252" w:rsidRPr="004D6A67" w:rsidRDefault="008B3252" w:rsidP="00985B97">
      <w:pPr>
        <w:pStyle w:val="Ttulo3"/>
      </w:pPr>
      <w:bookmarkStart w:id="87" w:name="_Toc235107963"/>
      <w:r w:rsidRPr="004D6A67">
        <w:t>Enfoques críticos del desarrollo</w:t>
      </w:r>
      <w:bookmarkEnd w:id="87"/>
    </w:p>
    <w:p w14:paraId="61100800" w14:textId="77777777" w:rsidR="008B3252" w:rsidRPr="004D6A67" w:rsidRDefault="008B3252" w:rsidP="00985B97">
      <w:pPr>
        <w:pBdr>
          <w:top w:val="nil"/>
          <w:left w:val="nil"/>
          <w:bottom w:val="nil"/>
          <w:right w:val="nil"/>
          <w:between w:val="nil"/>
        </w:pBdr>
        <w:jc w:val="both"/>
      </w:pPr>
      <w:r w:rsidRPr="004D6A67">
        <w:t xml:space="preserve">A nivel internacional, el diseño de políticas públicas fundamentado en las teorías liberales clásicas ha tendido a sobreestimar la capacidad de los mecanismos de mercado para generar movilidad económica multidimensional. Desde una perspectiva tecno económica moderna, este modelo tradicional es cuestionado por omitir las externalidades negativas ambientales y sociales derivadas de un consumo expansivo no regulado. Los enfoques contemporáneos de la gestión pública demuestran que un modelo de crecimiento lineal y exponencial resulta insostenible en términos de asignación eficiente de recursos y cohesión territorial. Por lo tanto, la modernización del Estado exige transitar de una gobernanza puramente </w:t>
      </w:r>
      <w:proofErr w:type="spellStart"/>
      <w:r w:rsidRPr="004D6A67">
        <w:t>pro-mercado</w:t>
      </w:r>
      <w:proofErr w:type="spellEnd"/>
      <w:r w:rsidRPr="004D6A67">
        <w:t xml:space="preserve"> hacia un rol estratégico e innovador, capaz de mitigar las asimetrías distributivas y garantizar un desarrollo sostenible mediante la introducción de tecnologías limpias, la economía circular y la optimización del valor público. </w:t>
      </w:r>
    </w:p>
    <w:p w14:paraId="3F0FE2CF" w14:textId="77777777" w:rsidR="008B3252" w:rsidRPr="004D6A67" w:rsidRDefault="008B3252" w:rsidP="00985B97">
      <w:pPr>
        <w:pBdr>
          <w:top w:val="nil"/>
          <w:left w:val="nil"/>
          <w:bottom w:val="nil"/>
          <w:right w:val="nil"/>
          <w:between w:val="nil"/>
        </w:pBdr>
        <w:jc w:val="both"/>
      </w:pPr>
      <w:r w:rsidRPr="004D6A67">
        <w:lastRenderedPageBreak/>
        <w:t>La contemplación de estas modalidades de desarrollo, además, pasan por la superación del paradigma de desarrollo desde la exclusión del discurso tecno económico y modernizador y el replanteamiento de las formas de organización social, productiva y política que subsisten en las sociedades actuales. Estas formas críticas del desarrollo, se encuentran también atravesadas por la comprensión de una gestión del desarrollo que incorpore capacidades humanas, solidez democrática, principios de equidad y provisión de bienes públicos.</w:t>
      </w:r>
    </w:p>
    <w:p w14:paraId="5F7CEDDF" w14:textId="77777777" w:rsidR="008B3252" w:rsidRPr="004D6A67" w:rsidRDefault="008B3252" w:rsidP="00985B97">
      <w:pPr>
        <w:pBdr>
          <w:top w:val="nil"/>
          <w:left w:val="nil"/>
          <w:bottom w:val="nil"/>
          <w:right w:val="nil"/>
          <w:between w:val="nil"/>
        </w:pBdr>
        <w:jc w:val="both"/>
      </w:pPr>
      <w:r w:rsidRPr="004D6A67">
        <w:t xml:space="preserve">Según Amartya Sen (1999), el desarrollo se concibe particularmente desde su dimensión humana. En este sentido, el crecimiento económico no es un fin en sí mismo, sino un medio para garantizar las condiciones materiales, simbólicas y fundamentales de existencia que permitan a las personas llevar a cabo su proyecto de vida libremente escogido. Esto plantea una redefinición de la gestión pública en clave de incorporación de capacidades humanas, equidad y gobernanza, al proponer que las funciones del Estado se dirijan hacia la garantía de las libertades fundamentales de los individuos y comunidades. Todo ello bajo escenarios abiertos de participación social y en estricta coordinación con las entidades estatales en todas sus dimensiones. </w:t>
      </w:r>
    </w:p>
    <w:p w14:paraId="56BE7993" w14:textId="77777777" w:rsidR="008B3252" w:rsidRPr="004D6A67" w:rsidRDefault="008B3252" w:rsidP="00985B97">
      <w:pPr>
        <w:pBdr>
          <w:top w:val="nil"/>
          <w:left w:val="nil"/>
          <w:bottom w:val="nil"/>
          <w:right w:val="nil"/>
          <w:between w:val="nil"/>
        </w:pBdr>
        <w:jc w:val="both"/>
      </w:pPr>
      <w:r w:rsidRPr="004D6A67">
        <w:t xml:space="preserve">En el marco de las posturas relacionadas con el desarrollo y la gestión pública, este proyecto de inversión adopta la Teoría del Cambio Institucional propuesta por el economista estadounidense </w:t>
      </w:r>
      <w:proofErr w:type="spellStart"/>
      <w:r w:rsidRPr="004D6A67">
        <w:t>Douglass</w:t>
      </w:r>
      <w:proofErr w:type="spellEnd"/>
      <w:r w:rsidRPr="004D6A67">
        <w:t xml:space="preserve"> North (1990). North expone que cuando una sociedad construye e implementa instituciones sólidas y eficientes, se generan procesos importantes de crecimiento económico. No obstante, aclara que las instituciones no se desarrollan en el vacío, sino en territorios específicos. Por lo tanto, para comprender e impulsar este desarrollo, resulta necesario implementar estrategias descentralizadas con enfoques diferenciales, apoyadas en una sofisticación de la arquitectura institucional que oriente al Estado hacia mejores procesos de gobernanza territorial y sectorial. </w:t>
      </w:r>
    </w:p>
    <w:p w14:paraId="644AD604" w14:textId="77777777" w:rsidR="008B3252" w:rsidRPr="004D6A67" w:rsidRDefault="008B3252" w:rsidP="00985B97">
      <w:pPr>
        <w:pBdr>
          <w:top w:val="nil"/>
          <w:left w:val="nil"/>
          <w:bottom w:val="nil"/>
          <w:right w:val="nil"/>
          <w:between w:val="nil"/>
        </w:pBdr>
        <w:jc w:val="both"/>
      </w:pPr>
      <w:r w:rsidRPr="004D6A67">
        <w:t xml:space="preserve">Así, apuntar a la gobernanza territorial y sectorial significa que el Estado, desde la búsqueda del desarrollo territorial, llega a distribuir y especializar sus "reglas del juego". De este modo, la descentralización territorial y la regulación técnica sectorial, se convierten en las herramientas definitivas para bajar los costos de transacción propios de lo institucional, dar certidumbre a largo plazo y construir un entorno institucional donde el desarrollo económico y la equidad social sean finalmente viables. </w:t>
      </w:r>
    </w:p>
    <w:p w14:paraId="26013A96" w14:textId="77777777" w:rsidR="008B3252" w:rsidRPr="004D6A67" w:rsidRDefault="008B3252" w:rsidP="00985B97">
      <w:pPr>
        <w:pStyle w:val="Ttulo3"/>
      </w:pPr>
      <w:bookmarkStart w:id="88" w:name="_Toc235107964"/>
      <w:r w:rsidRPr="004D6A67">
        <w:lastRenderedPageBreak/>
        <w:t xml:space="preserve">El </w:t>
      </w:r>
      <w:proofErr w:type="spellStart"/>
      <w:r w:rsidRPr="004D6A67">
        <w:t>post-desarrollo</w:t>
      </w:r>
      <w:bookmarkEnd w:id="88"/>
      <w:proofErr w:type="spellEnd"/>
    </w:p>
    <w:p w14:paraId="18314BE2" w14:textId="77777777" w:rsidR="008B3252" w:rsidRPr="004D6A67" w:rsidRDefault="008B3252" w:rsidP="00985B97">
      <w:pPr>
        <w:pBdr>
          <w:top w:val="nil"/>
          <w:left w:val="nil"/>
          <w:bottom w:val="nil"/>
          <w:right w:val="nil"/>
          <w:between w:val="nil"/>
        </w:pBdr>
        <w:jc w:val="both"/>
      </w:pPr>
      <w:r w:rsidRPr="004D6A67">
        <w:t xml:space="preserve">Desde otras posturas epistemológicas, se contempla la propuesta del </w:t>
      </w:r>
      <w:proofErr w:type="spellStart"/>
      <w:r w:rsidRPr="004D6A67">
        <w:t>post-desarrollo</w:t>
      </w:r>
      <w:proofErr w:type="spellEnd"/>
      <w:r w:rsidRPr="004D6A67">
        <w:t>, que explica que el concepto original de desarrollo parte de una narrativa ideológica eurocéntrica y colonizadora, centrada en el fortalecimiento de los intereses acumulativos de occidente.</w:t>
      </w:r>
    </w:p>
    <w:p w14:paraId="3638EA34" w14:textId="77777777" w:rsidR="008B3252" w:rsidRPr="004D6A67" w:rsidRDefault="008B3252" w:rsidP="00985B97">
      <w:pPr>
        <w:jc w:val="both"/>
      </w:pPr>
      <w:r w:rsidRPr="004D6A67">
        <w:t xml:space="preserve">Esto resulta trascendental para comprender los enfoques que determinan la gestión pública desde estas perspectivas. A este respecto, Esteva (2009), plantea </w:t>
      </w:r>
      <w:proofErr w:type="gramStart"/>
      <w:r w:rsidRPr="004D6A67">
        <w:t>que</w:t>
      </w:r>
      <w:proofErr w:type="gramEnd"/>
      <w:r w:rsidRPr="004D6A67">
        <w:t xml:space="preserve"> en las sociedades contemporáneas, las instituciones públicas generan política pública y encaminan la gestión pública desde el marco ideológico del desarrollismo, lo que puede tender a una mayor profundización de las desigualdades sociales, de la solidez institucional y de la estabilización material. </w:t>
      </w:r>
    </w:p>
    <w:p w14:paraId="407DA335" w14:textId="77777777" w:rsidR="008B3252" w:rsidRPr="004D6A67" w:rsidRDefault="008B3252" w:rsidP="00985B97">
      <w:pPr>
        <w:jc w:val="both"/>
      </w:pPr>
      <w:r w:rsidRPr="004D6A67">
        <w:t xml:space="preserve">En este sentido, la apuesta desde las perspectivas </w:t>
      </w:r>
      <w:proofErr w:type="spellStart"/>
      <w:r w:rsidRPr="004D6A67">
        <w:t>post-desarrollistas</w:t>
      </w:r>
      <w:proofErr w:type="spellEnd"/>
      <w:r w:rsidRPr="004D6A67">
        <w:t xml:space="preserve"> consiste en un ejercicio de paulatina “desprofesionalización” del Estado, en el que la gestión pública pueda desarrollarse, principalmente, desde los territorios, las comunidades y las formas de organización de la gente. Esteva (2009), plantea que una gestión pública que sea ejecutada a cabalidad, debe ser aquella que camine al ritmo de la gente, limitando las funciones al mínimo necesario y permitiendo que la sociedad se organice a sí misma desde abajo. </w:t>
      </w:r>
    </w:p>
    <w:p w14:paraId="2EEB0BAF" w14:textId="77777777" w:rsidR="008B3252" w:rsidRPr="004D6A67" w:rsidRDefault="008B3252" w:rsidP="00985B97">
      <w:pPr>
        <w:jc w:val="both"/>
        <w:rPr>
          <w:b/>
          <w:bCs/>
          <w:color w:val="D49E21"/>
        </w:rPr>
      </w:pPr>
      <w:r w:rsidRPr="004D6A67">
        <w:t xml:space="preserve">Sin embargo, aunque los enfoques críticos del desarrollo y el postdesarrollo resultan ilustrativos de las nociones de la gestión que se gestan desde lo institucional y lo comunitario, resulta importante establecer un punto de conexión entre las dos posturas que permita realizar un ejercicio de gobernabilidad y gobernanza que tiendan al equilibrio de intereses, desempeño eficiente y priorización de los elementos comunitarios. </w:t>
      </w:r>
    </w:p>
    <w:p w14:paraId="0A2C13D7" w14:textId="77777777" w:rsidR="008B3252" w:rsidRPr="004D6A67" w:rsidRDefault="008B3252" w:rsidP="00A86834">
      <w:pPr>
        <w:pStyle w:val="Ttulo1"/>
      </w:pPr>
      <w:bookmarkStart w:id="89" w:name="_Toc235107965"/>
      <w:r w:rsidRPr="004D6A67">
        <w:t>Problemática</w:t>
      </w:r>
      <w:bookmarkEnd w:id="89"/>
    </w:p>
    <w:p w14:paraId="5801DBB9" w14:textId="77777777" w:rsidR="008B3252" w:rsidRPr="004D6A67" w:rsidRDefault="008B3252" w:rsidP="00985B97">
      <w:pPr>
        <w:jc w:val="both"/>
      </w:pPr>
      <w:r w:rsidRPr="004D6A67">
        <w:t xml:space="preserve">La Agencia Nacional Minera, dentro de la expedición anual de fichas de control de la producción, ha permitido un diagnóstico del paulatino crecimiento e incidencia del sector en la consolidación de la economía nacional (Cartilla de Minería para la Vida, Agencia Nacional de Minería, 2022). Esto, a través de </w:t>
      </w:r>
      <w:r w:rsidRPr="004D6A67">
        <w:lastRenderedPageBreak/>
        <w:t xml:space="preserve">la medición de indicadores del PIB, los índices de importaciones y exportaciones de productos mineros y los Índices de Inversión Extranjera Directa (IED) que se registran en materia de minería. </w:t>
      </w:r>
    </w:p>
    <w:p w14:paraId="5A572006" w14:textId="77777777" w:rsidR="008B3252" w:rsidRPr="004D6A67" w:rsidRDefault="008B3252" w:rsidP="00985B97">
      <w:pPr>
        <w:jc w:val="both"/>
      </w:pPr>
      <w:r w:rsidRPr="004D6A67">
        <w:t xml:space="preserve">Esta aproximación, haciendo un seguimiento cronológico desde los informes reportados en las fichas de control de la ANM de 2022 a 2025, permiten identificar productos específicos en materia de minería que han impulsado el crecimiento del sector y su incidencia en la economía nacional. </w:t>
      </w:r>
    </w:p>
    <w:p w14:paraId="5B745B86" w14:textId="77777777" w:rsidR="008B3252" w:rsidRPr="004D6A67" w:rsidRDefault="008B3252" w:rsidP="00985B97">
      <w:pPr>
        <w:jc w:val="both"/>
      </w:pPr>
      <w:r w:rsidRPr="004D6A67">
        <w:t>Entre ellos, se destaca principalmente la producción de carbón, que no sólo es el mineral más producido en Colombia, sino que constituye uno de los productos generales de mayor exportación por parte del país. Desde la explotación a cielo abierto, la producción de carbón se localiza en los departamentos del Cesar y La Guajira y en la producción a pequeña y mediana escala, que en su mayoría es de carácter subterráneo, se ubica fundamentalmente en los departamentos de Boyacá, Norte de Santander, Cundinamarca y Córdoba.</w:t>
      </w:r>
    </w:p>
    <w:p w14:paraId="19E7F940" w14:textId="77777777" w:rsidR="008B3252" w:rsidRPr="004D6A67" w:rsidRDefault="008B3252" w:rsidP="00985B97">
      <w:pPr>
        <w:jc w:val="both"/>
        <w:rPr>
          <w:color w:val="0A0A0A"/>
          <w:shd w:val="clear" w:color="auto" w:fill="FEFEFE"/>
        </w:rPr>
      </w:pPr>
      <w:r w:rsidRPr="004D6A67">
        <w:t xml:space="preserve">En segundo momento, se destaca el crecimiento sostenido en la producción de oro, que se encuentra concentrada en los departamentos de </w:t>
      </w:r>
      <w:r w:rsidRPr="004D6A67">
        <w:rPr>
          <w:color w:val="0A0A0A"/>
          <w:shd w:val="clear" w:color="auto" w:fill="FEFEFE"/>
        </w:rPr>
        <w:t>Antioquia, Chocó, Bolívar, Córdoba, Caldas, Tolima y Nariño.</w:t>
      </w:r>
    </w:p>
    <w:p w14:paraId="7351D05B" w14:textId="77777777" w:rsidR="008B3252" w:rsidRPr="004D6A67" w:rsidRDefault="008B3252" w:rsidP="00985B97">
      <w:pPr>
        <w:jc w:val="both"/>
        <w:rPr>
          <w:color w:val="0A0A0A"/>
          <w:shd w:val="clear" w:color="auto" w:fill="FEFEFE"/>
        </w:rPr>
      </w:pPr>
      <w:r w:rsidRPr="004D6A67">
        <w:rPr>
          <w:color w:val="0A0A0A"/>
          <w:shd w:val="clear" w:color="auto" w:fill="FEFEFE"/>
        </w:rPr>
        <w:t xml:space="preserve">En siguiente lugar, se observa el crecimiento de la producción de níquel, ubicado especialmente en el Proyecto </w:t>
      </w:r>
      <w:proofErr w:type="spellStart"/>
      <w:r w:rsidRPr="004D6A67">
        <w:rPr>
          <w:color w:val="0A0A0A"/>
          <w:shd w:val="clear" w:color="auto" w:fill="FEFEFE"/>
        </w:rPr>
        <w:t>Cerromatoso</w:t>
      </w:r>
      <w:proofErr w:type="spellEnd"/>
      <w:r w:rsidRPr="004D6A67">
        <w:rPr>
          <w:color w:val="0A0A0A"/>
          <w:shd w:val="clear" w:color="auto" w:fill="FEFEFE"/>
        </w:rPr>
        <w:t xml:space="preserve"> en el departamento de Córdoba y desplegado en el mismo departamento en exploraciones más pequeñas. </w:t>
      </w:r>
    </w:p>
    <w:p w14:paraId="24B33789" w14:textId="77777777" w:rsidR="008B3252" w:rsidRPr="004D6A67" w:rsidRDefault="008B3252" w:rsidP="00985B97">
      <w:pPr>
        <w:jc w:val="both"/>
        <w:rPr>
          <w:color w:val="0A0A0A"/>
          <w:shd w:val="clear" w:color="auto" w:fill="FEFEFE"/>
        </w:rPr>
      </w:pPr>
      <w:r w:rsidRPr="004D6A67">
        <w:rPr>
          <w:color w:val="0A0A0A"/>
          <w:shd w:val="clear" w:color="auto" w:fill="FEFEFE"/>
        </w:rPr>
        <w:t xml:space="preserve">Se hace observación del cobre, cuya producción se dividió en tres cinturones específicos por parte de la ANM, el central, el occidental y el oriental. El cinturón central, abarca los municipios de </w:t>
      </w:r>
      <w:proofErr w:type="spellStart"/>
      <w:r w:rsidRPr="004D6A67">
        <w:rPr>
          <w:color w:val="0A0A0A"/>
          <w:shd w:val="clear" w:color="auto" w:fill="FEFEFE"/>
        </w:rPr>
        <w:t>Quebradona</w:t>
      </w:r>
      <w:proofErr w:type="spellEnd"/>
      <w:r w:rsidRPr="004D6A67">
        <w:rPr>
          <w:color w:val="0A0A0A"/>
          <w:shd w:val="clear" w:color="auto" w:fill="FEFEFE"/>
        </w:rPr>
        <w:t xml:space="preserve">, El </w:t>
      </w:r>
      <w:proofErr w:type="spellStart"/>
      <w:r w:rsidRPr="004D6A67">
        <w:rPr>
          <w:color w:val="0A0A0A"/>
          <w:shd w:val="clear" w:color="auto" w:fill="FEFEFE"/>
        </w:rPr>
        <w:t>Pisno</w:t>
      </w:r>
      <w:proofErr w:type="spellEnd"/>
      <w:r w:rsidRPr="004D6A67">
        <w:rPr>
          <w:color w:val="0A0A0A"/>
          <w:shd w:val="clear" w:color="auto" w:fill="FEFEFE"/>
        </w:rPr>
        <w:t xml:space="preserve">, </w:t>
      </w:r>
      <w:proofErr w:type="spellStart"/>
      <w:r w:rsidRPr="004D6A67">
        <w:rPr>
          <w:color w:val="0A0A0A"/>
          <w:shd w:val="clear" w:color="auto" w:fill="FEFEFE"/>
        </w:rPr>
        <w:t>Piedrasentada</w:t>
      </w:r>
      <w:proofErr w:type="spellEnd"/>
      <w:r w:rsidRPr="004D6A67">
        <w:rPr>
          <w:color w:val="0A0A0A"/>
          <w:shd w:val="clear" w:color="auto" w:fill="FEFEFE"/>
        </w:rPr>
        <w:t xml:space="preserve">-Dominical, Mazamorras, el cinturón central, orientado a los municipios de Acandí, Murindó, Pantanos-Pegadorcito, Andágueda y </w:t>
      </w:r>
      <w:proofErr w:type="spellStart"/>
      <w:r w:rsidRPr="004D6A67">
        <w:rPr>
          <w:color w:val="0A0A0A"/>
          <w:shd w:val="clear" w:color="auto" w:fill="FEFEFE"/>
        </w:rPr>
        <w:t>Piedrancha</w:t>
      </w:r>
      <w:proofErr w:type="spellEnd"/>
      <w:r w:rsidRPr="004D6A67">
        <w:rPr>
          <w:color w:val="0A0A0A"/>
          <w:shd w:val="clear" w:color="auto" w:fill="FEFEFE"/>
        </w:rPr>
        <w:t xml:space="preserve"> y el cinturón oriental, comprendido por los municipios de Andes, Infierno-Chili, Dolores y Mocoa, sin embargo, en este sector no se evidencia un crecimiento significativo (</w:t>
      </w:r>
      <w:r w:rsidRPr="004D6A67">
        <w:t>Cartilla de Minería para la Vida, Agencia Nacional de Minería, 2022).</w:t>
      </w:r>
    </w:p>
    <w:p w14:paraId="0A663BA5" w14:textId="77777777" w:rsidR="008B3252" w:rsidRPr="004D6A67" w:rsidRDefault="008B3252" w:rsidP="00985B97">
      <w:pPr>
        <w:jc w:val="both"/>
        <w:rPr>
          <w:color w:val="0A0A0A"/>
          <w:shd w:val="clear" w:color="auto" w:fill="FEFEFE"/>
        </w:rPr>
      </w:pPr>
      <w:r w:rsidRPr="004D6A67">
        <w:rPr>
          <w:color w:val="0A0A0A"/>
          <w:shd w:val="clear" w:color="auto" w:fill="FEFEFE"/>
        </w:rPr>
        <w:t xml:space="preserve"> Para el caso de las esmeraldas, que se concentran en los distritos mineros de Chivor, Gachalá y </w:t>
      </w:r>
      <w:proofErr w:type="spellStart"/>
      <w:r w:rsidRPr="004D6A67">
        <w:rPr>
          <w:color w:val="0A0A0A"/>
          <w:shd w:val="clear" w:color="auto" w:fill="FEFEFE"/>
        </w:rPr>
        <w:t>Macanal</w:t>
      </w:r>
      <w:proofErr w:type="spellEnd"/>
      <w:r w:rsidRPr="004D6A67">
        <w:rPr>
          <w:color w:val="0A0A0A"/>
          <w:shd w:val="clear" w:color="auto" w:fill="FEFEFE"/>
        </w:rPr>
        <w:t xml:space="preserve"> en el cinturón oriental, y Muzo, </w:t>
      </w:r>
      <w:proofErr w:type="spellStart"/>
      <w:r w:rsidRPr="004D6A67">
        <w:rPr>
          <w:color w:val="0A0A0A"/>
          <w:shd w:val="clear" w:color="auto" w:fill="FEFEFE"/>
        </w:rPr>
        <w:t>Coscuez</w:t>
      </w:r>
      <w:proofErr w:type="spellEnd"/>
      <w:r w:rsidRPr="004D6A67">
        <w:rPr>
          <w:color w:val="0A0A0A"/>
          <w:shd w:val="clear" w:color="auto" w:fill="FEFEFE"/>
        </w:rPr>
        <w:t xml:space="preserve">, Peñas Blancas, La Palma – Yacopí y La Pita en el cinturón occidental, no se evidenciaron crecimientos significativos. </w:t>
      </w:r>
    </w:p>
    <w:p w14:paraId="0F0AD740" w14:textId="77777777" w:rsidR="008B3252" w:rsidRPr="004D6A67" w:rsidRDefault="008B3252" w:rsidP="00985B97">
      <w:pPr>
        <w:jc w:val="both"/>
        <w:rPr>
          <w:color w:val="0A0A0A"/>
          <w:shd w:val="clear" w:color="auto" w:fill="FEFEFE"/>
        </w:rPr>
      </w:pPr>
      <w:r w:rsidRPr="004D6A67">
        <w:rPr>
          <w:color w:val="0A0A0A"/>
          <w:shd w:val="clear" w:color="auto" w:fill="FEFEFE"/>
        </w:rPr>
        <w:lastRenderedPageBreak/>
        <w:t xml:space="preserve"> Frente al caso del hierro, concentrado en el oriente del país, en el departamento de Vaupés y en el Proyecto </w:t>
      </w:r>
      <w:proofErr w:type="spellStart"/>
      <w:r w:rsidRPr="004D6A67">
        <w:rPr>
          <w:color w:val="0A0A0A"/>
          <w:shd w:val="clear" w:color="auto" w:fill="FEFEFE"/>
        </w:rPr>
        <w:t>Cerromatoso</w:t>
      </w:r>
      <w:proofErr w:type="spellEnd"/>
      <w:r w:rsidRPr="004D6A67">
        <w:rPr>
          <w:color w:val="0A0A0A"/>
          <w:shd w:val="clear" w:color="auto" w:fill="FEFEFE"/>
        </w:rPr>
        <w:t xml:space="preserve"> en Córdoba.  </w:t>
      </w:r>
    </w:p>
    <w:p w14:paraId="2DF06F78" w14:textId="77777777" w:rsidR="008B3252" w:rsidRPr="004D6A67" w:rsidRDefault="008B3252" w:rsidP="00985B97">
      <w:pPr>
        <w:jc w:val="both"/>
      </w:pPr>
      <w:r w:rsidRPr="004D6A67">
        <w:rPr>
          <w:color w:val="0A0A0A"/>
          <w:shd w:val="clear" w:color="auto" w:fill="FEFEFE"/>
        </w:rPr>
        <w:t xml:space="preserve">Para estos productos, la ANM optó por la implementación de los procesos de rondas mineras, cuyo objetivo consiste en la oferta y adjudicación de áreas con alto potencial de recursos para empresas o inversionistas interesados en la explotación minera. Las rondas mineras contemplan, cada una, la centralización de una ronda por tipo de producto de extracción </w:t>
      </w:r>
      <w:r w:rsidRPr="004D6A67">
        <w:rPr>
          <w:color w:val="0A0A0A"/>
        </w:rPr>
        <w:t>(</w:t>
      </w:r>
      <w:r w:rsidRPr="004D6A67">
        <w:t>Cartilla de Minería para la Vida, Agencia Nacional de Minería, 2022).</w:t>
      </w:r>
    </w:p>
    <w:p w14:paraId="7BF1116D" w14:textId="77777777" w:rsidR="008B3252" w:rsidRPr="004D6A67" w:rsidRDefault="008B3252" w:rsidP="00985B97">
      <w:pPr>
        <w:jc w:val="both"/>
      </w:pPr>
      <w:r w:rsidRPr="004D6A67">
        <w:rPr>
          <w:color w:val="0A0A0A"/>
        </w:rPr>
        <w:t xml:space="preserve">Las clasificaciones anteriores y la observación de los volúmenes de producción, crecimiento e incidencia porcentual en el PIB de estos productos mineros, permiten retomar que, </w:t>
      </w:r>
      <w:r w:rsidRPr="004D6A67">
        <w:t>desde el plano de la gestión pública, en los procesos de titulación minera, se aprecian avances importantes en la formalización y expedición de títulos mineros por tipo de mineral, modalidad y etapa contractual, avanzando en el reconocimiento y robustecimiento de los mecanismos contemplados en el Registro Minero Nacional y en la formalización del sector (Memorias al Congreso de la República 2023-2024, Ministerio de Minas y Energía).</w:t>
      </w:r>
    </w:p>
    <w:p w14:paraId="6A3683B2" w14:textId="77777777" w:rsidR="008B3252" w:rsidRPr="004D6A67" w:rsidRDefault="008B3252" w:rsidP="00985B97">
      <w:pPr>
        <w:jc w:val="both"/>
      </w:pPr>
      <w:r w:rsidRPr="004D6A67">
        <w:t xml:space="preserve">Como proceso transversal al ejercicio regulatorio y al posicionamiento del sector en Colombia, se resalta que, en materia de suscripción de acuerdos y tratados de nivel internacional en materia de minería, se han adoptado de forma efectiva, para 2026, 19 Acuerdos Internacionales de Inversión (AII) vigentes y 6 suscritos en 46 países; igualmente, cuenta con 18 acuerdos comerciales de alcance parcial y libre comercio (TLC) con 64 países; finalmente, cuenta 15 Acuerdos de Doble Titulación con 4 países. </w:t>
      </w:r>
    </w:p>
    <w:p w14:paraId="486742AB" w14:textId="77777777" w:rsidR="008B3252" w:rsidRPr="004D6A67" w:rsidRDefault="008B3252" w:rsidP="00985B97">
      <w:pPr>
        <w:jc w:val="both"/>
      </w:pPr>
      <w:r w:rsidRPr="004D6A67">
        <w:t xml:space="preserve">En la suscripción de estos acuerdos, la producción minera juega un rol transversal, en términos de que entra a configurar un escenario de actores incidentes e infraestructura institucional. Esto se da bajo el escenario inminente de una dependencia </w:t>
      </w:r>
      <w:proofErr w:type="spellStart"/>
      <w:r w:rsidRPr="004D6A67">
        <w:t>asérrima</w:t>
      </w:r>
      <w:proofErr w:type="spellEnd"/>
      <w:r w:rsidRPr="004D6A67">
        <w:t xml:space="preserve"> por parte de los países que no producen grandes volúmenes de material minero, quienes optan por establecer relaciones de carácter diplomático y mercantil, configurando un escenario de integración económica con actores muy determinados, que instan por la masificación de la producción minera de exportación.</w:t>
      </w:r>
    </w:p>
    <w:p w14:paraId="3C756F64" w14:textId="77777777" w:rsidR="008B3252" w:rsidRPr="004D6A67" w:rsidRDefault="008B3252" w:rsidP="00985B97">
      <w:pPr>
        <w:jc w:val="both"/>
        <w:rPr>
          <w:shd w:val="clear" w:color="auto" w:fill="B6D7A8"/>
        </w:rPr>
      </w:pPr>
      <w:r w:rsidRPr="004D6A67">
        <w:t xml:space="preserve">Esto, en términos del diseño de marcos regulatorios y en aras de la modernización del sector minero, plantea distintos retos de carácter institucional, de relacionamiento y de focalización de las poblaciones </w:t>
      </w:r>
      <w:r w:rsidRPr="004D6A67">
        <w:lastRenderedPageBreak/>
        <w:t>que componen el sector. Sobre todo, en vista de que se ha podido demostrar un mayor y mejor rendimiento del mismo a través del fortalecimiento de los pequeños productores y mineros artesanales, por encima de la tecnificación de los grandes productores mineros, esto, además, atendiendo al principio de responsabilidad ambiental y social de la minería, sostenido en el principio de Transición Energética Justa (TEJ) consagrado en el Plan Nacional de Desarrollo 2022-2026, a partir de la expedición del Decreto 2294 de 2023, en el apartado de transformaciones (Decreto 2294 de 2023, SUIN-</w:t>
      </w:r>
      <w:proofErr w:type="spellStart"/>
      <w:r w:rsidRPr="004D6A67">
        <w:t>Juriscol</w:t>
      </w:r>
      <w:proofErr w:type="spellEnd"/>
      <w:r w:rsidRPr="004D6A67">
        <w:t xml:space="preserve">, 2023). </w:t>
      </w:r>
    </w:p>
    <w:p w14:paraId="003F1DEF" w14:textId="77777777" w:rsidR="008B3252" w:rsidRPr="004D6A67" w:rsidRDefault="008B3252" w:rsidP="00985B97">
      <w:pPr>
        <w:jc w:val="both"/>
      </w:pPr>
      <w:r w:rsidRPr="004D6A67">
        <w:t>En este sentido, realizando un recorrido por los procesos anteriores de la gestión pública en materia de normatividad aplicada al sector minero, se han podido identificar cinco factores problemáticos que determinan la necesidad de una proyección normativa distinta en materia de minería y que, brindan las pautas para la retroalimentación de los procesos en aras de proponer un nuevo modelo en esta materia. Los factores a abordar, con su respectiva clasificación y evidencia son los siguientes:</w:t>
      </w:r>
    </w:p>
    <w:p w14:paraId="106BFBB2" w14:textId="77777777" w:rsidR="008B3252" w:rsidRPr="00985B97" w:rsidRDefault="008B3252" w:rsidP="00985B97">
      <w:pPr>
        <w:jc w:val="both"/>
        <w:rPr>
          <w:b/>
          <w:bCs/>
        </w:rPr>
      </w:pPr>
      <w:r w:rsidRPr="00985B97">
        <w:rPr>
          <w:b/>
          <w:bCs/>
        </w:rPr>
        <w:t xml:space="preserve">Tabla. Clasificación de los factores problemáticos asociados al sector minero </w:t>
      </w:r>
    </w:p>
    <w:sdt>
      <w:sdtPr>
        <w:tag w:val="goog_rdk_1"/>
        <w:id w:val="1142039725"/>
        <w:lock w:val="contentLocked"/>
      </w:sdtPr>
      <w:sdtEndPr/>
      <w:sdtContent>
        <w:tbl>
          <w:tblPr>
            <w:tblW w:w="9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35"/>
            <w:gridCol w:w="2475"/>
            <w:gridCol w:w="4590"/>
          </w:tblGrid>
          <w:tr w:rsidR="008B3252" w14:paraId="0D9D4267" w14:textId="77777777" w:rsidTr="003C2C7C">
            <w:tc>
              <w:tcPr>
                <w:tcW w:w="2235" w:type="dxa"/>
                <w:shd w:val="clear" w:color="auto" w:fill="auto"/>
                <w:tcMar>
                  <w:top w:w="100" w:type="dxa"/>
                  <w:left w:w="100" w:type="dxa"/>
                  <w:bottom w:w="100" w:type="dxa"/>
                  <w:right w:w="100" w:type="dxa"/>
                </w:tcMar>
              </w:tcPr>
              <w:p w14:paraId="19A3930A" w14:textId="77777777" w:rsidR="008B3252" w:rsidRDefault="008B3252" w:rsidP="003C2C7C">
                <w:pPr>
                  <w:widowControl w:val="0"/>
                  <w:spacing w:after="0"/>
                  <w:rPr>
                    <w:sz w:val="24"/>
                    <w:szCs w:val="24"/>
                  </w:rPr>
                </w:pPr>
                <w:r>
                  <w:rPr>
                    <w:sz w:val="24"/>
                    <w:szCs w:val="24"/>
                  </w:rPr>
                  <w:t xml:space="preserve">Factor </w:t>
                </w:r>
              </w:p>
            </w:tc>
            <w:tc>
              <w:tcPr>
                <w:tcW w:w="2475" w:type="dxa"/>
                <w:shd w:val="clear" w:color="auto" w:fill="auto"/>
                <w:tcMar>
                  <w:top w:w="100" w:type="dxa"/>
                  <w:left w:w="100" w:type="dxa"/>
                  <w:bottom w:w="100" w:type="dxa"/>
                  <w:right w:w="100" w:type="dxa"/>
                </w:tcMar>
              </w:tcPr>
              <w:p w14:paraId="334CB165" w14:textId="77777777" w:rsidR="008B3252" w:rsidRDefault="008B3252" w:rsidP="003C2C7C">
                <w:pPr>
                  <w:widowControl w:val="0"/>
                  <w:spacing w:after="0"/>
                  <w:rPr>
                    <w:sz w:val="24"/>
                    <w:szCs w:val="24"/>
                  </w:rPr>
                </w:pPr>
                <w:r>
                  <w:rPr>
                    <w:sz w:val="24"/>
                    <w:szCs w:val="24"/>
                  </w:rPr>
                  <w:t>Clasificación</w:t>
                </w:r>
              </w:p>
            </w:tc>
            <w:tc>
              <w:tcPr>
                <w:tcW w:w="4590" w:type="dxa"/>
                <w:shd w:val="clear" w:color="auto" w:fill="auto"/>
                <w:tcMar>
                  <w:top w:w="100" w:type="dxa"/>
                  <w:left w:w="100" w:type="dxa"/>
                  <w:bottom w:w="100" w:type="dxa"/>
                  <w:right w:w="100" w:type="dxa"/>
                </w:tcMar>
              </w:tcPr>
              <w:p w14:paraId="203E35A8" w14:textId="77777777" w:rsidR="008B3252" w:rsidRDefault="008B3252" w:rsidP="003C2C7C">
                <w:pPr>
                  <w:widowControl w:val="0"/>
                  <w:spacing w:after="0"/>
                  <w:rPr>
                    <w:sz w:val="24"/>
                    <w:szCs w:val="24"/>
                  </w:rPr>
                </w:pPr>
                <w:r>
                  <w:rPr>
                    <w:sz w:val="24"/>
                    <w:szCs w:val="24"/>
                  </w:rPr>
                  <w:t>Fuente</w:t>
                </w:r>
              </w:p>
            </w:tc>
          </w:tr>
          <w:tr w:rsidR="008B3252" w14:paraId="75294AD1" w14:textId="77777777" w:rsidTr="003C2C7C">
            <w:tc>
              <w:tcPr>
                <w:tcW w:w="2235" w:type="dxa"/>
                <w:shd w:val="clear" w:color="auto" w:fill="auto"/>
                <w:tcMar>
                  <w:top w:w="100" w:type="dxa"/>
                  <w:left w:w="100" w:type="dxa"/>
                  <w:bottom w:w="100" w:type="dxa"/>
                  <w:right w:w="100" w:type="dxa"/>
                </w:tcMar>
              </w:tcPr>
              <w:p w14:paraId="6509311F" w14:textId="77777777" w:rsidR="008B3252" w:rsidRDefault="008B3252" w:rsidP="003C2C7C">
                <w:pPr>
                  <w:widowControl w:val="0"/>
                  <w:spacing w:after="0"/>
                  <w:rPr>
                    <w:sz w:val="24"/>
                    <w:szCs w:val="24"/>
                  </w:rPr>
                </w:pPr>
                <w:r>
                  <w:rPr>
                    <w:sz w:val="24"/>
                    <w:szCs w:val="24"/>
                  </w:rPr>
                  <w:t xml:space="preserve">Índices de informalidad e ilegalidad minera con afectación ambiental </w:t>
                </w:r>
              </w:p>
            </w:tc>
            <w:tc>
              <w:tcPr>
                <w:tcW w:w="2475" w:type="dxa"/>
                <w:shd w:val="clear" w:color="auto" w:fill="auto"/>
                <w:tcMar>
                  <w:top w:w="100" w:type="dxa"/>
                  <w:left w:w="100" w:type="dxa"/>
                  <w:bottom w:w="100" w:type="dxa"/>
                  <w:right w:w="100" w:type="dxa"/>
                </w:tcMar>
              </w:tcPr>
              <w:p w14:paraId="2CAE6BF2" w14:textId="77777777" w:rsidR="008B3252" w:rsidRDefault="008B3252" w:rsidP="003C2C7C">
                <w:pPr>
                  <w:widowControl w:val="0"/>
                  <w:spacing w:after="0"/>
                  <w:rPr>
                    <w:sz w:val="24"/>
                    <w:szCs w:val="24"/>
                  </w:rPr>
                </w:pPr>
                <w:r>
                  <w:rPr>
                    <w:sz w:val="24"/>
                    <w:szCs w:val="24"/>
                  </w:rPr>
                  <w:t>Normativa/Ambiental</w:t>
                </w:r>
              </w:p>
            </w:tc>
            <w:tc>
              <w:tcPr>
                <w:tcW w:w="4590" w:type="dxa"/>
                <w:shd w:val="clear" w:color="auto" w:fill="auto"/>
                <w:tcMar>
                  <w:top w:w="100" w:type="dxa"/>
                  <w:left w:w="100" w:type="dxa"/>
                  <w:bottom w:w="100" w:type="dxa"/>
                  <w:right w:w="100" w:type="dxa"/>
                </w:tcMar>
              </w:tcPr>
              <w:p w14:paraId="3A6FFC28" w14:textId="77777777" w:rsidR="008B3252" w:rsidRDefault="008B3252" w:rsidP="003C2C7C">
                <w:pPr>
                  <w:widowControl w:val="0"/>
                  <w:spacing w:after="0"/>
                  <w:rPr>
                    <w:sz w:val="24"/>
                    <w:szCs w:val="24"/>
                  </w:rPr>
                </w:pPr>
                <w:r>
                  <w:rPr>
                    <w:sz w:val="24"/>
                    <w:szCs w:val="24"/>
                  </w:rPr>
                  <w:t>https://www.oecd.org/en/publications/oecd-environmental-performance-reviews-colombia-2026_968398f7-en/full-report/assessment-and-recommendations_cf339438.html?</w:t>
                </w:r>
              </w:p>
            </w:tc>
          </w:tr>
          <w:tr w:rsidR="008B3252" w14:paraId="250AD610" w14:textId="77777777" w:rsidTr="003C2C7C">
            <w:tc>
              <w:tcPr>
                <w:tcW w:w="2235" w:type="dxa"/>
                <w:shd w:val="clear" w:color="auto" w:fill="auto"/>
                <w:tcMar>
                  <w:top w:w="100" w:type="dxa"/>
                  <w:left w:w="100" w:type="dxa"/>
                  <w:bottom w:w="100" w:type="dxa"/>
                  <w:right w:w="100" w:type="dxa"/>
                </w:tcMar>
              </w:tcPr>
              <w:p w14:paraId="4C282E49" w14:textId="77777777" w:rsidR="008B3252" w:rsidRDefault="008B3252" w:rsidP="003C2C7C">
                <w:pPr>
                  <w:widowControl w:val="0"/>
                  <w:spacing w:after="0"/>
                  <w:rPr>
                    <w:sz w:val="24"/>
                    <w:szCs w:val="24"/>
                  </w:rPr>
                </w:pPr>
                <w:r>
                  <w:rPr>
                    <w:sz w:val="24"/>
                    <w:szCs w:val="24"/>
                  </w:rPr>
                  <w:t>Debilitamiento institucional y decaimiento de la gobernanza</w:t>
                </w:r>
              </w:p>
            </w:tc>
            <w:tc>
              <w:tcPr>
                <w:tcW w:w="2475" w:type="dxa"/>
                <w:shd w:val="clear" w:color="auto" w:fill="auto"/>
                <w:tcMar>
                  <w:top w:w="100" w:type="dxa"/>
                  <w:left w:w="100" w:type="dxa"/>
                  <w:bottom w:w="100" w:type="dxa"/>
                  <w:right w:w="100" w:type="dxa"/>
                </w:tcMar>
              </w:tcPr>
              <w:p w14:paraId="3C8471D3" w14:textId="77777777" w:rsidR="008B3252" w:rsidRDefault="008B3252" w:rsidP="003C2C7C">
                <w:pPr>
                  <w:widowControl w:val="0"/>
                  <w:spacing w:after="0"/>
                  <w:rPr>
                    <w:sz w:val="24"/>
                    <w:szCs w:val="24"/>
                  </w:rPr>
                </w:pPr>
                <w:r>
                  <w:rPr>
                    <w:sz w:val="24"/>
                    <w:szCs w:val="24"/>
                  </w:rPr>
                  <w:t>Institucional</w:t>
                </w:r>
              </w:p>
            </w:tc>
            <w:tc>
              <w:tcPr>
                <w:tcW w:w="4590" w:type="dxa"/>
                <w:shd w:val="clear" w:color="auto" w:fill="auto"/>
                <w:tcMar>
                  <w:top w:w="100" w:type="dxa"/>
                  <w:left w:w="100" w:type="dxa"/>
                  <w:bottom w:w="100" w:type="dxa"/>
                  <w:right w:w="100" w:type="dxa"/>
                </w:tcMar>
              </w:tcPr>
              <w:p w14:paraId="400F742F" w14:textId="77777777" w:rsidR="008B3252" w:rsidRDefault="00C72D7D" w:rsidP="003C2C7C">
                <w:pPr>
                  <w:widowControl w:val="0"/>
                  <w:spacing w:after="0"/>
                  <w:rPr>
                    <w:sz w:val="24"/>
                    <w:szCs w:val="24"/>
                  </w:rPr>
                </w:pPr>
                <w:hyperlink r:id="rId13">
                  <w:r w:rsidR="008B3252">
                    <w:rPr>
                      <w:color w:val="1155CC"/>
                      <w:sz w:val="24"/>
                      <w:szCs w:val="24"/>
                      <w:u w:val="single"/>
                    </w:rPr>
                    <w:t>https://taicollaborative.org/exploring-barriers-to-data-use-in-colombias-mining-sector</w:t>
                  </w:r>
                </w:hyperlink>
                <w:r w:rsidR="008B3252">
                  <w:rPr>
                    <w:sz w:val="24"/>
                    <w:szCs w:val="24"/>
                  </w:rPr>
                  <w:t>?</w:t>
                </w:r>
              </w:p>
              <w:p w14:paraId="2BE90252" w14:textId="77777777" w:rsidR="008B3252" w:rsidRDefault="008B3252" w:rsidP="003C2C7C">
                <w:pPr>
                  <w:widowControl w:val="0"/>
                  <w:spacing w:after="0"/>
                  <w:rPr>
                    <w:sz w:val="24"/>
                    <w:szCs w:val="24"/>
                  </w:rPr>
                </w:pPr>
                <w:r>
                  <w:rPr>
                    <w:sz w:val="24"/>
                    <w:szCs w:val="24"/>
                  </w:rPr>
                  <w:t>https://mining.transparency.org.au/wp-content/uploads/2025/03/TIA_Critical-Minerals-Global-Report_Web_12-March-1.pdf?</w:t>
                </w:r>
              </w:p>
            </w:tc>
          </w:tr>
          <w:tr w:rsidR="008B3252" w14:paraId="3C8A0DF2" w14:textId="77777777" w:rsidTr="003C2C7C">
            <w:tc>
              <w:tcPr>
                <w:tcW w:w="2235" w:type="dxa"/>
                <w:shd w:val="clear" w:color="auto" w:fill="auto"/>
                <w:tcMar>
                  <w:top w:w="100" w:type="dxa"/>
                  <w:left w:w="100" w:type="dxa"/>
                  <w:bottom w:w="100" w:type="dxa"/>
                  <w:right w:w="100" w:type="dxa"/>
                </w:tcMar>
              </w:tcPr>
              <w:p w14:paraId="2BC2E839" w14:textId="77777777" w:rsidR="008B3252" w:rsidRDefault="008B3252" w:rsidP="003C2C7C">
                <w:pPr>
                  <w:widowControl w:val="0"/>
                  <w:spacing w:after="0"/>
                  <w:rPr>
                    <w:sz w:val="24"/>
                    <w:szCs w:val="24"/>
                  </w:rPr>
                </w:pPr>
                <w:r>
                  <w:rPr>
                    <w:sz w:val="24"/>
                    <w:szCs w:val="24"/>
                  </w:rPr>
                  <w:lastRenderedPageBreak/>
                  <w:t>Agudización de las conflictividades sociales y la oposición comunitaria</w:t>
                </w:r>
              </w:p>
            </w:tc>
            <w:tc>
              <w:tcPr>
                <w:tcW w:w="2475" w:type="dxa"/>
                <w:shd w:val="clear" w:color="auto" w:fill="auto"/>
                <w:tcMar>
                  <w:top w:w="100" w:type="dxa"/>
                  <w:left w:w="100" w:type="dxa"/>
                  <w:bottom w:w="100" w:type="dxa"/>
                  <w:right w:w="100" w:type="dxa"/>
                </w:tcMar>
              </w:tcPr>
              <w:p w14:paraId="6F53A653" w14:textId="77777777" w:rsidR="008B3252" w:rsidRDefault="008B3252" w:rsidP="003C2C7C">
                <w:pPr>
                  <w:widowControl w:val="0"/>
                  <w:spacing w:after="0"/>
                  <w:rPr>
                    <w:sz w:val="24"/>
                    <w:szCs w:val="24"/>
                  </w:rPr>
                </w:pPr>
                <w:r>
                  <w:rPr>
                    <w:sz w:val="24"/>
                    <w:szCs w:val="24"/>
                  </w:rPr>
                  <w:t>Social</w:t>
                </w:r>
              </w:p>
            </w:tc>
            <w:tc>
              <w:tcPr>
                <w:tcW w:w="4590" w:type="dxa"/>
                <w:shd w:val="clear" w:color="auto" w:fill="auto"/>
                <w:tcMar>
                  <w:top w:w="100" w:type="dxa"/>
                  <w:left w:w="100" w:type="dxa"/>
                  <w:bottom w:w="100" w:type="dxa"/>
                  <w:right w:w="100" w:type="dxa"/>
                </w:tcMar>
              </w:tcPr>
              <w:p w14:paraId="7720B343" w14:textId="77777777" w:rsidR="008B3252" w:rsidRDefault="008B3252" w:rsidP="003C2C7C">
                <w:pPr>
                  <w:widowControl w:val="0"/>
                  <w:spacing w:after="0"/>
                  <w:rPr>
                    <w:sz w:val="24"/>
                    <w:szCs w:val="24"/>
                  </w:rPr>
                </w:pPr>
                <w:r>
                  <w:rPr>
                    <w:sz w:val="24"/>
                    <w:szCs w:val="24"/>
                  </w:rPr>
                  <w:t>https://www.defensoria.gov.co/-/conflictos-sociales-en-el-sector-minero-energ%C3%A9tico-aumentaron-un-46-durante-el-2023-en-colombia?</w:t>
                </w:r>
              </w:p>
            </w:tc>
          </w:tr>
          <w:tr w:rsidR="008B3252" w14:paraId="7901726A" w14:textId="77777777" w:rsidTr="008757C2">
            <w:tc>
              <w:tcPr>
                <w:tcW w:w="2235" w:type="dxa"/>
                <w:shd w:val="clear" w:color="auto" w:fill="auto"/>
                <w:tcMar>
                  <w:top w:w="100" w:type="dxa"/>
                  <w:left w:w="100" w:type="dxa"/>
                  <w:bottom w:w="100" w:type="dxa"/>
                  <w:right w:w="100" w:type="dxa"/>
                </w:tcMar>
              </w:tcPr>
              <w:p w14:paraId="1745D974" w14:textId="77777777" w:rsidR="008B3252" w:rsidRDefault="008B3252" w:rsidP="003C2C7C">
                <w:pPr>
                  <w:widowControl w:val="0"/>
                  <w:spacing w:after="0"/>
                  <w:rPr>
                    <w:sz w:val="24"/>
                    <w:szCs w:val="24"/>
                  </w:rPr>
                </w:pPr>
                <w:r>
                  <w:rPr>
                    <w:sz w:val="24"/>
                    <w:szCs w:val="24"/>
                  </w:rPr>
                  <w:t>Conflictos normativos y regulatorios asociados a los procesos de titulación y formalización</w:t>
                </w:r>
              </w:p>
            </w:tc>
            <w:tc>
              <w:tcPr>
                <w:tcW w:w="2475" w:type="dxa"/>
                <w:shd w:val="clear" w:color="auto" w:fill="auto"/>
                <w:tcMar>
                  <w:top w:w="100" w:type="dxa"/>
                  <w:left w:w="100" w:type="dxa"/>
                  <w:bottom w:w="100" w:type="dxa"/>
                  <w:right w:w="100" w:type="dxa"/>
                </w:tcMar>
              </w:tcPr>
              <w:p w14:paraId="6DB3F720" w14:textId="77777777" w:rsidR="008B3252" w:rsidRDefault="008B3252" w:rsidP="003C2C7C">
                <w:pPr>
                  <w:widowControl w:val="0"/>
                  <w:spacing w:after="0"/>
                  <w:rPr>
                    <w:sz w:val="24"/>
                    <w:szCs w:val="24"/>
                  </w:rPr>
                </w:pPr>
                <w:r>
                  <w:rPr>
                    <w:sz w:val="24"/>
                    <w:szCs w:val="24"/>
                  </w:rPr>
                  <w:t>Institucional/Normativo</w:t>
                </w:r>
              </w:p>
            </w:tc>
            <w:tc>
              <w:tcPr>
                <w:tcW w:w="4590" w:type="dxa"/>
                <w:shd w:val="clear" w:color="auto" w:fill="auto"/>
                <w:tcMar>
                  <w:top w:w="100" w:type="dxa"/>
                  <w:left w:w="100" w:type="dxa"/>
                  <w:bottom w:w="100" w:type="dxa"/>
                  <w:right w:w="100" w:type="dxa"/>
                </w:tcMar>
              </w:tcPr>
              <w:p w14:paraId="2C1C8B79" w14:textId="77777777" w:rsidR="008B3252" w:rsidRDefault="00C72D7D" w:rsidP="003C2C7C">
                <w:pPr>
                  <w:widowControl w:val="0"/>
                  <w:spacing w:after="0"/>
                  <w:rPr>
                    <w:sz w:val="24"/>
                    <w:szCs w:val="24"/>
                  </w:rPr>
                </w:pPr>
                <w:hyperlink r:id="rId14">
                  <w:r w:rsidR="008B3252">
                    <w:rPr>
                      <w:color w:val="1155CC"/>
                      <w:sz w:val="24"/>
                      <w:szCs w:val="24"/>
                      <w:u w:val="single"/>
                    </w:rPr>
                    <w:t>https://www.semana.com/economia/empresas/articulo/mineria-en-colombia-empresarios-reclaman-estabilidad-juridica-en-medio-de-impuestos-trabas-y-violencia/202509/</w:t>
                  </w:r>
                </w:hyperlink>
                <w:r w:rsidR="008B3252">
                  <w:rPr>
                    <w:sz w:val="24"/>
                    <w:szCs w:val="24"/>
                  </w:rPr>
                  <w:t>?</w:t>
                </w:r>
              </w:p>
              <w:p w14:paraId="5E1F7CBE" w14:textId="77777777" w:rsidR="008B3252" w:rsidRDefault="008B3252" w:rsidP="003C2C7C">
                <w:pPr>
                  <w:widowControl w:val="0"/>
                  <w:spacing w:after="0"/>
                  <w:rPr>
                    <w:sz w:val="24"/>
                    <w:szCs w:val="24"/>
                  </w:rPr>
                </w:pPr>
                <w:r>
                  <w:rPr>
                    <w:sz w:val="24"/>
                    <w:szCs w:val="24"/>
                  </w:rPr>
                  <w:t>https://www.eltiempo.com/economia/sectores/cerca-del-50-de-las-empresas-mineras-quieren-reducir-operaciones-en-colombia-3336130?</w:t>
                </w:r>
              </w:p>
            </w:tc>
          </w:tr>
        </w:tbl>
      </w:sdtContent>
    </w:sdt>
    <w:p w14:paraId="478F5434" w14:textId="77777777" w:rsidR="008B3252" w:rsidRPr="00985B97" w:rsidRDefault="008B3252" w:rsidP="00985B97">
      <w:pPr>
        <w:spacing w:before="240" w:after="240"/>
        <w:jc w:val="both"/>
      </w:pPr>
      <w:r w:rsidRPr="00985B97">
        <w:t xml:space="preserve">Atendiendo al análisis de los factores expuestos en la tabla, fue posible identificar una recurrencia temática en cuanto a la clasificación de los mismos, donde los elementos recurrentes se centraron en los elementos normativos de las gestiones anteriores en materia de minería. </w:t>
      </w:r>
    </w:p>
    <w:p w14:paraId="609E26EE" w14:textId="77777777" w:rsidR="008B3252" w:rsidRPr="00985B97" w:rsidRDefault="008B3252" w:rsidP="00985B97">
      <w:pPr>
        <w:spacing w:before="240" w:after="240"/>
        <w:jc w:val="both"/>
      </w:pPr>
      <w:r w:rsidRPr="00985B97">
        <w:t>Así, las recurrencias temáticas giran, sobre todo, alrededor de las deficiencias normativas y regulatorias que existen en materia minera. En este sentido, se ha encontrado que, organismos como la OCDE (2025), retoman la estructura del régimen de licencias ambientales. Allí, mencionan que no existe una regulación o tipificación específica de la totalidad de actividades mineras dentro de las licencias ambientales, a pesar de los impactos que estas pueden generar sobre los ecosistemas.</w:t>
      </w:r>
    </w:p>
    <w:p w14:paraId="2E4862B6" w14:textId="77777777" w:rsidR="008B3252" w:rsidRPr="00985B97" w:rsidRDefault="008B3252" w:rsidP="00985B97">
      <w:pPr>
        <w:spacing w:before="240" w:after="240"/>
        <w:jc w:val="both"/>
        <w:rPr>
          <w:shd w:val="clear" w:color="auto" w:fill="B6D7A8"/>
        </w:rPr>
      </w:pPr>
      <w:r w:rsidRPr="00985B97">
        <w:t xml:space="preserve">Igualmente, especifican que, en términos de la reducción de la dependencia que tiene el país hacia los combustibles fósiles, es necesario realizar un esfuerzo en términos de la especificidad normativa. Este avance, según recomendaciones de la OCDE, implicaría robustecer los principios de la TEJ en aras de fijar </w:t>
      </w:r>
      <w:r w:rsidRPr="00985B97">
        <w:lastRenderedPageBreak/>
        <w:t>las disposiciones necesarias para eliminar la dependencia hacia los combustibles fósiles a través de diversificación productiva, pero también, a través de un marco regulatorio sólido que afiance las garantías legales para la sostenibilidad ambiental (</w:t>
      </w:r>
      <w:proofErr w:type="spellStart"/>
      <w:r w:rsidRPr="00985B97">
        <w:t>Environmental</w:t>
      </w:r>
      <w:proofErr w:type="spellEnd"/>
      <w:r w:rsidRPr="00985B97">
        <w:t xml:space="preserve"> performance </w:t>
      </w:r>
      <w:proofErr w:type="spellStart"/>
      <w:r w:rsidRPr="00985B97">
        <w:t>reviews</w:t>
      </w:r>
      <w:proofErr w:type="spellEnd"/>
      <w:r w:rsidRPr="00985B97">
        <w:t>: Colombia, OCDE, 2026).</w:t>
      </w:r>
    </w:p>
    <w:p w14:paraId="29FFA953" w14:textId="77777777" w:rsidR="008B3252" w:rsidRPr="00985B97" w:rsidRDefault="008B3252" w:rsidP="00985B97">
      <w:pPr>
        <w:spacing w:before="240" w:after="240"/>
        <w:rPr>
          <w:b/>
          <w:bCs/>
        </w:rPr>
      </w:pPr>
      <w:r w:rsidRPr="00985B97">
        <w:rPr>
          <w:b/>
          <w:bCs/>
        </w:rPr>
        <w:t>Dimensión normativa e institucional</w:t>
      </w:r>
    </w:p>
    <w:p w14:paraId="500F9A63" w14:textId="77777777" w:rsidR="008B3252" w:rsidRPr="00985B97" w:rsidRDefault="008B3252" w:rsidP="00985B97">
      <w:pPr>
        <w:spacing w:before="240" w:after="240"/>
        <w:jc w:val="both"/>
      </w:pPr>
      <w:r w:rsidRPr="00985B97">
        <w:t xml:space="preserve">Dentro de la caracterización de la dimensión normativa en materia de producción minera en el país y sus factores problemáticos, fue posible precisar que los elementos regulatorios en materia de licencias y la falta de leyes que dinamicen la transición a métodos alternativos a los hidrocarburos, que resultan recurrentes en el análisis normativo, constituyen algunos de los síntomas más visibles de la generalidad del panorama institucional en términos de sus deficiencias para el cumplimiento de los objetivos propios de la TEJ y para garantizar una sostenibilidad tanto económica, como socioambiental por parte del sector.  </w:t>
      </w:r>
    </w:p>
    <w:p w14:paraId="01A29B84" w14:textId="77777777" w:rsidR="008B3252" w:rsidRPr="00985B97" w:rsidRDefault="008B3252" w:rsidP="00985B97">
      <w:pPr>
        <w:spacing w:before="240" w:after="240"/>
        <w:jc w:val="both"/>
      </w:pPr>
      <w:r w:rsidRPr="00985B97">
        <w:t xml:space="preserve">En principio, se plantea que para que sea posible garantizar el cumplimiento de las metas de ahorro energético y descarbonización para los sectores de industria y transporte de cara al año 2030, resulta indispensable el impulso de un marco normativo que acelere las medidas de eficiencia </w:t>
      </w:r>
      <w:proofErr w:type="spellStart"/>
      <w:proofErr w:type="gramStart"/>
      <w:r w:rsidRPr="00985B97">
        <w:t>energética,estableciendo</w:t>
      </w:r>
      <w:proofErr w:type="spellEnd"/>
      <w:proofErr w:type="gramEnd"/>
      <w:r w:rsidRPr="00985B97">
        <w:t xml:space="preserve"> parámetros claros de acción. Además, se insta por una articulación mayor entre los procesos normativos y los mecanismos de evaluación de impacto ambiental en lo que refiere a minería. </w:t>
      </w:r>
    </w:p>
    <w:p w14:paraId="5634B85F" w14:textId="77777777" w:rsidR="008B3252" w:rsidRPr="00985B97" w:rsidRDefault="008B3252" w:rsidP="00985B97">
      <w:pPr>
        <w:spacing w:before="240" w:after="240"/>
        <w:jc w:val="both"/>
      </w:pPr>
      <w:r w:rsidRPr="00985B97">
        <w:t>A este respecto, la OCDE señala seis problemas específicos referentes a infraestructura institucional y normativa del estado actual de la minería en Colombia</w:t>
      </w:r>
    </w:p>
    <w:p w14:paraId="3F91EECD" w14:textId="77777777" w:rsidR="008B3252" w:rsidRPr="00985B97" w:rsidRDefault="008B3252" w:rsidP="00A86834">
      <w:pPr>
        <w:pStyle w:val="Ttulo1"/>
      </w:pPr>
      <w:bookmarkStart w:id="90" w:name="_Toc235107966"/>
      <w:r w:rsidRPr="00985B97">
        <w:t>Objetivos</w:t>
      </w:r>
      <w:bookmarkEnd w:id="90"/>
    </w:p>
    <w:p w14:paraId="5C830F0E" w14:textId="77777777" w:rsidR="00985B97" w:rsidRDefault="008B3252" w:rsidP="00985B97">
      <w:pPr>
        <w:pStyle w:val="Ttulo2"/>
      </w:pPr>
      <w:bookmarkStart w:id="91" w:name="_Toc235107967"/>
      <w:r w:rsidRPr="00985B97">
        <w:t>Objetivo general</w:t>
      </w:r>
      <w:bookmarkEnd w:id="91"/>
    </w:p>
    <w:p w14:paraId="2AE56B19" w14:textId="77777777" w:rsidR="008B3252" w:rsidRPr="00985B97" w:rsidRDefault="008B3252" w:rsidP="00985B97">
      <w:pPr>
        <w:spacing w:after="0"/>
        <w:jc w:val="both"/>
        <w:rPr>
          <w:b/>
          <w:bCs/>
          <w:color w:val="D49E21"/>
        </w:rPr>
      </w:pPr>
      <w:r w:rsidRPr="00985B97">
        <w:t>Fortalecer el análisis estratégico sectorial para brindar pautas en el estrechamiento de las relaciones entre Gobierno Nacional y ciudadanía productiva en el sector minero en Colombia bajo los principios de la Transición Energética Justa.</w:t>
      </w:r>
    </w:p>
    <w:p w14:paraId="3E4A5DD9" w14:textId="77777777" w:rsidR="008B3252" w:rsidRPr="00985B97" w:rsidRDefault="008B3252" w:rsidP="00985B97">
      <w:pPr>
        <w:pStyle w:val="Ttulo2"/>
      </w:pPr>
      <w:bookmarkStart w:id="92" w:name="_Toc235107968"/>
      <w:r w:rsidRPr="00985B97">
        <w:lastRenderedPageBreak/>
        <w:t>Objetivos específicos</w:t>
      </w:r>
      <w:bookmarkEnd w:id="92"/>
    </w:p>
    <w:p w14:paraId="45FF1769" w14:textId="77777777" w:rsidR="008B3252" w:rsidRPr="00985B97" w:rsidRDefault="008B3252" w:rsidP="00721806">
      <w:pPr>
        <w:widowControl w:val="0"/>
        <w:numPr>
          <w:ilvl w:val="0"/>
          <w:numId w:val="51"/>
        </w:numPr>
        <w:spacing w:after="0"/>
        <w:jc w:val="both"/>
      </w:pPr>
      <w:r w:rsidRPr="00985B97">
        <w:t xml:space="preserve">Identificar las estrategias y experiencias normativas e institucionales basadas en los principios de la Transición Energética Justa, orientadas a articular la relación entre la institucionalidad y la ciudadanía productiva en el sector minero colombiano </w:t>
      </w:r>
    </w:p>
    <w:p w14:paraId="6631FF38" w14:textId="77777777" w:rsidR="008B3252" w:rsidRPr="00985B97" w:rsidRDefault="008B3252" w:rsidP="00721806">
      <w:pPr>
        <w:widowControl w:val="0"/>
        <w:numPr>
          <w:ilvl w:val="0"/>
          <w:numId w:val="51"/>
        </w:numPr>
        <w:spacing w:after="0"/>
        <w:jc w:val="both"/>
      </w:pPr>
      <w:r w:rsidRPr="00985B97">
        <w:t xml:space="preserve">Analizar la articulación entre los mecanismos de gobernanza institucional y las experiencias comunitarias y sindicales de las poblaciones mineras productivas, con el fin de comprender cómo se responden a sus demandas específicas en el marco de una Transición Energética Justa </w:t>
      </w:r>
    </w:p>
    <w:p w14:paraId="2718ECA6" w14:textId="77777777" w:rsidR="008B3252" w:rsidRPr="00985B97" w:rsidRDefault="008B3252" w:rsidP="00721806">
      <w:pPr>
        <w:widowControl w:val="0"/>
        <w:numPr>
          <w:ilvl w:val="0"/>
          <w:numId w:val="51"/>
        </w:numPr>
        <w:spacing w:after="0"/>
        <w:jc w:val="both"/>
      </w:pPr>
      <w:r w:rsidRPr="00985B97">
        <w:t xml:space="preserve">Sistematizar, centralizar y socializar la información sobre las experiencias de relacionamiento entre las comunidades mineras y la institucionalidad nacional, con el fin de generar un modelo de gestión del conocimiento que facilite la toma de decisiones estratégicas y promueva prácticas de gobernanza colaborativa </w:t>
      </w:r>
    </w:p>
    <w:p w14:paraId="023B65F7" w14:textId="77777777" w:rsidR="008B3252" w:rsidRPr="00985B97" w:rsidRDefault="008B3252" w:rsidP="00A86834">
      <w:pPr>
        <w:pStyle w:val="Ttulo1"/>
      </w:pPr>
      <w:bookmarkStart w:id="93" w:name="_Toc235107969"/>
      <w:r w:rsidRPr="00985B97">
        <w:t>Metodología</w:t>
      </w:r>
      <w:bookmarkEnd w:id="93"/>
    </w:p>
    <w:p w14:paraId="3BC3570C" w14:textId="77777777" w:rsidR="008B3252" w:rsidRPr="00985B97" w:rsidRDefault="008B3252" w:rsidP="00985B97">
      <w:pPr>
        <w:pStyle w:val="Ttulo2"/>
      </w:pPr>
      <w:bookmarkStart w:id="94" w:name="_Toc235107970"/>
      <w:r w:rsidRPr="00985B97">
        <w:t>Abordaje técnico de las relaciones entre ciudadanía productiva y Gobierno Nacional</w:t>
      </w:r>
      <w:bookmarkEnd w:id="94"/>
    </w:p>
    <w:p w14:paraId="4FEF488B" w14:textId="77777777" w:rsidR="008B3252" w:rsidRPr="00985B97" w:rsidRDefault="008B3252" w:rsidP="00985B97">
      <w:pPr>
        <w:pBdr>
          <w:top w:val="nil"/>
          <w:left w:val="nil"/>
          <w:bottom w:val="nil"/>
          <w:right w:val="nil"/>
          <w:between w:val="nil"/>
        </w:pBdr>
        <w:jc w:val="both"/>
      </w:pPr>
      <w:r w:rsidRPr="00985B97">
        <w:t xml:space="preserve">El Pivote de Minería se constituye como un documento técnico específico, que busca esclarecer las trayectorias de relacionamiento entre el Gobierno Nacional y la ciudadanía productiva del sector minero para detectar y proponer posibles cursos de acción que permitan proponer unas pautas en el estrechamiento de las relaciones con el Gobierno Nacional bajo los principios de la Transición Energética Justa. Esto se propone a través del ejercicio de brindar lineamientos y ofrecer posibles directrices para consolidar el análisis estratégico sectorial y aportar unas guías de relacionamiento institucional con la ciudadanía productiva. </w:t>
      </w:r>
    </w:p>
    <w:p w14:paraId="29BEDD88" w14:textId="77777777" w:rsidR="008B3252" w:rsidRPr="00985B97" w:rsidRDefault="008B3252" w:rsidP="00985B97">
      <w:pPr>
        <w:pStyle w:val="Ttulo2"/>
      </w:pPr>
      <w:bookmarkStart w:id="95" w:name="_Toc235107971"/>
      <w:r w:rsidRPr="00985B97">
        <w:t>Planteamiento investigativo</w:t>
      </w:r>
      <w:bookmarkEnd w:id="95"/>
      <w:r w:rsidRPr="00985B97">
        <w:t xml:space="preserve"> </w:t>
      </w:r>
    </w:p>
    <w:p w14:paraId="1A456680" w14:textId="77777777" w:rsidR="008B3252" w:rsidRPr="00985B97" w:rsidRDefault="008B3252" w:rsidP="00985B97">
      <w:pPr>
        <w:pBdr>
          <w:top w:val="nil"/>
          <w:left w:val="nil"/>
          <w:bottom w:val="nil"/>
          <w:right w:val="nil"/>
          <w:between w:val="nil"/>
        </w:pBdr>
        <w:jc w:val="both"/>
      </w:pPr>
      <w:r w:rsidRPr="00985B97">
        <w:t xml:space="preserve">Para poder realizar una aproximación relevante de acuerdo con los objetivos propuestos para el presente Pivote, se llevó a cabo la implementación de una metodología de investigación de enfoque cualitativo (Hernández Sampieri et al., 2014). Este abordaje se realizó a partir de la adopción de un paradigma hermenéutico interpretativo (Hernández Sampieri et al., 2014), que permite el abordaje de los elementos </w:t>
      </w:r>
      <w:r w:rsidRPr="00985B97">
        <w:lastRenderedPageBreak/>
        <w:t>fundamentales y transversales que inciden en la instalación de pautas en el estrechamiento de las relaciones entre Gobierno Nacional y ciudadanía productiva en el sector minero en Colombia bajo los principios de la Transición Energética Justa.</w:t>
      </w:r>
    </w:p>
    <w:p w14:paraId="737A09E6" w14:textId="77777777" w:rsidR="008B3252" w:rsidRPr="00985B97" w:rsidRDefault="008B3252" w:rsidP="00985B97">
      <w:pPr>
        <w:jc w:val="both"/>
      </w:pPr>
      <w:r w:rsidRPr="00985B97">
        <w:t xml:space="preserve">Se plantea el enfoque cualitativo para el desarrollo de la presente metodología, dado que permite explorar, de forma comprensiva, los procesos específicos que son inmanentes u ocasionales dentro de las nociones y evaluaciones que se emiten desde el Gobierno y la ciudadanía alrededor de la gestión pública de la minería en Colombia. Este tipo de enfoque permite detallar elementos procedimentales, significados, percepciones y experiencias que configuran a los actores y pueden llegar a incidir en su relacionamiento y en las demandas sociales que giran alrededor del sector minero (Hernández Sampieri et al., 2014). Igualmente, permite develar las nociones y evaluaciones del relacionamiento que se emiten desde las experiencias de otros países en materia de gestión gubernamental, relacionamiento y ciudadanía productiva. </w:t>
      </w:r>
    </w:p>
    <w:p w14:paraId="2BDAAEBF" w14:textId="77777777" w:rsidR="008B3252" w:rsidRPr="00985B97" w:rsidRDefault="008B3252" w:rsidP="00985B97">
      <w:pPr>
        <w:jc w:val="both"/>
      </w:pPr>
      <w:r w:rsidRPr="00985B97">
        <w:t>Para lograr esta aproximación, se propone la adopción de un paradigma hermenéutico interpretativo (Hernández Sampieri et al., 2014), que permita la comprensión del fenómeno desde las perspectivas particulares de quienes lo componen y desde las atribuciones de valor y significado que asignan frente a estas relaciones inmersas en la gestión del sector minero.</w:t>
      </w:r>
    </w:p>
    <w:p w14:paraId="7F6EA854" w14:textId="77777777" w:rsidR="008B3252" w:rsidRPr="00985B97" w:rsidRDefault="008B3252" w:rsidP="00985B97">
      <w:pPr>
        <w:jc w:val="both"/>
      </w:pPr>
      <w:r w:rsidRPr="00985B97">
        <w:t xml:space="preserve">El abordaje de esta metodología estará basado en la implementación de tres fases para el análisis. Inicialmente, la fase de revisión y selección documental; en segundo momento, el abordaje empírico de las experiencias de los actores y en la fase final, el procesamiento y análisis de la información. </w:t>
      </w:r>
    </w:p>
    <w:p w14:paraId="533CA1A4" w14:textId="77777777" w:rsidR="008B3252" w:rsidRPr="00985B97" w:rsidRDefault="008B3252" w:rsidP="00985B97">
      <w:pPr>
        <w:pStyle w:val="Ttulo2"/>
      </w:pPr>
      <w:bookmarkStart w:id="96" w:name="_Toc235107972"/>
      <w:r w:rsidRPr="00985B97">
        <w:t>Revisión y análisis documental</w:t>
      </w:r>
      <w:bookmarkEnd w:id="96"/>
    </w:p>
    <w:p w14:paraId="5811E59F" w14:textId="77777777" w:rsidR="008B3252" w:rsidRPr="00985B97" w:rsidRDefault="008B3252" w:rsidP="00985B97">
      <w:pPr>
        <w:jc w:val="both"/>
      </w:pPr>
      <w:r w:rsidRPr="00985B97">
        <w:t xml:space="preserve">Para la primera fase, se llevó a cabo un proceso de revisión y selección documental, orientada específicamente a realizar una trazabilidad analítica de los documentos técnicos que han sido expedidos por las principales entidades públicas de nivel gobierno y nivel legislativo alrededor de los procesos regulatorios vigentes en el sector minero, las iniciativas programáticas y normativas que se han encaminado desde la gestión pública para el sector y, finalmente, las experiencias, a través de documentos técnicos, de los países seleccionados, a saber, Alemania y Canadá alrededor de las políticas de descarbonización y gobernanza minera. </w:t>
      </w:r>
    </w:p>
    <w:p w14:paraId="41A2E4D2" w14:textId="77777777" w:rsidR="008B3252" w:rsidRPr="00985B97" w:rsidRDefault="008B3252" w:rsidP="00985B97">
      <w:pPr>
        <w:jc w:val="both"/>
      </w:pPr>
      <w:r w:rsidRPr="00985B97">
        <w:lastRenderedPageBreak/>
        <w:t xml:space="preserve">Toda esta información fue clasificada por medio de una matriz analítica y abordada a través del análisis crítico del discurso planteado por autores como </w:t>
      </w:r>
      <w:proofErr w:type="spellStart"/>
      <w:r w:rsidRPr="00985B97">
        <w:t>Teun</w:t>
      </w:r>
      <w:proofErr w:type="spellEnd"/>
      <w:r w:rsidRPr="00985B97">
        <w:t xml:space="preserve"> Van Dijk (2016) y Ruth </w:t>
      </w:r>
      <w:proofErr w:type="spellStart"/>
      <w:r w:rsidRPr="00985B97">
        <w:t>Wodak</w:t>
      </w:r>
      <w:proofErr w:type="spellEnd"/>
      <w:r w:rsidRPr="00985B97">
        <w:t xml:space="preserve"> y Michael Meyer (2003). Este método plantea una aproximación a la comprensión de la producción y reproducción de las relaciones de poder y las manifestaciones de la desigualdad existentes en la producción discursiva. Igualmente, desde la perspectiva del análisis crítico del discurso en Foucault (</w:t>
      </w:r>
      <w:proofErr w:type="spellStart"/>
      <w:r w:rsidRPr="00985B97">
        <w:t>Jäger</w:t>
      </w:r>
      <w:proofErr w:type="spellEnd"/>
      <w:r w:rsidRPr="00985B97">
        <w:t>, 2003), se puede afirmar que este método permite comprender el contexto discursivo de desarrollo de los participantes y las asignaciones de sentido y significado que se generan a través de las evaluaciones de los sujetos en la producción de sus propias prácticas. De allí, podemos generar interpretaciones o análisis alrededor del lenguaje técnico, normativo, programático y vivencial, que es el corpus que constituye la selección de literatura pertinente para esta investigación.</w:t>
      </w:r>
    </w:p>
    <w:p w14:paraId="213120E3" w14:textId="77777777" w:rsidR="008B3252" w:rsidRPr="00985B97" w:rsidRDefault="008B3252" w:rsidP="00985B97">
      <w:pPr>
        <w:jc w:val="both"/>
        <w:rPr>
          <w:b/>
          <w:bCs/>
        </w:rPr>
      </w:pPr>
      <w:r w:rsidRPr="00985B97">
        <w:rPr>
          <w:b/>
          <w:bCs/>
        </w:rPr>
        <w:t>Tabla. Documentación institucional y normativa alrededor del relacionamiento entre entidades y comunidades mineras (Fase I)</w:t>
      </w:r>
    </w:p>
    <w:sdt>
      <w:sdtPr>
        <w:tag w:val="goog_rdk_2"/>
        <w:id w:val="793539456"/>
        <w:lock w:val="contentLocked"/>
      </w:sdtPr>
      <w:sdtEndPr/>
      <w:sdtContent>
        <w:tbl>
          <w:tblPr>
            <w:tblW w:w="94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51"/>
            <w:gridCol w:w="2351"/>
            <w:gridCol w:w="2351"/>
            <w:gridCol w:w="2351"/>
          </w:tblGrid>
          <w:tr w:rsidR="008B3252" w14:paraId="1D9A9C26" w14:textId="77777777" w:rsidTr="003C2C7C">
            <w:tc>
              <w:tcPr>
                <w:tcW w:w="2351" w:type="dxa"/>
                <w:shd w:val="clear" w:color="auto" w:fill="auto"/>
                <w:tcMar>
                  <w:top w:w="100" w:type="dxa"/>
                  <w:left w:w="100" w:type="dxa"/>
                  <w:bottom w:w="100" w:type="dxa"/>
                  <w:right w:w="100" w:type="dxa"/>
                </w:tcMar>
              </w:tcPr>
              <w:p w14:paraId="74C75AB6" w14:textId="77777777" w:rsidR="008B3252" w:rsidRDefault="008B3252" w:rsidP="003C2C7C">
                <w:pPr>
                  <w:widowControl w:val="0"/>
                  <w:pBdr>
                    <w:top w:val="nil"/>
                    <w:left w:val="nil"/>
                    <w:bottom w:val="nil"/>
                    <w:right w:val="nil"/>
                    <w:between w:val="nil"/>
                  </w:pBdr>
                  <w:spacing w:after="0"/>
                  <w:rPr>
                    <w:b/>
                    <w:bCs/>
                    <w:sz w:val="24"/>
                    <w:szCs w:val="24"/>
                  </w:rPr>
                </w:pPr>
                <w:r>
                  <w:rPr>
                    <w:b/>
                    <w:bCs/>
                    <w:sz w:val="24"/>
                    <w:szCs w:val="24"/>
                  </w:rPr>
                  <w:t>Título</w:t>
                </w:r>
              </w:p>
            </w:tc>
            <w:tc>
              <w:tcPr>
                <w:tcW w:w="2351" w:type="dxa"/>
                <w:shd w:val="clear" w:color="auto" w:fill="auto"/>
                <w:tcMar>
                  <w:top w:w="100" w:type="dxa"/>
                  <w:left w:w="100" w:type="dxa"/>
                  <w:bottom w:w="100" w:type="dxa"/>
                  <w:right w:w="100" w:type="dxa"/>
                </w:tcMar>
              </w:tcPr>
              <w:p w14:paraId="1EEFE571" w14:textId="77777777" w:rsidR="008B3252" w:rsidRDefault="008B3252" w:rsidP="003C2C7C">
                <w:pPr>
                  <w:widowControl w:val="0"/>
                  <w:pBdr>
                    <w:top w:val="nil"/>
                    <w:left w:val="nil"/>
                    <w:bottom w:val="nil"/>
                    <w:right w:val="nil"/>
                    <w:between w:val="nil"/>
                  </w:pBdr>
                  <w:spacing w:after="0"/>
                  <w:rPr>
                    <w:b/>
                    <w:bCs/>
                    <w:sz w:val="24"/>
                    <w:szCs w:val="24"/>
                  </w:rPr>
                </w:pPr>
                <w:r>
                  <w:rPr>
                    <w:b/>
                    <w:bCs/>
                    <w:sz w:val="24"/>
                    <w:szCs w:val="24"/>
                  </w:rPr>
                  <w:t>Tipo de documento</w:t>
                </w:r>
              </w:p>
            </w:tc>
            <w:tc>
              <w:tcPr>
                <w:tcW w:w="2351" w:type="dxa"/>
                <w:shd w:val="clear" w:color="auto" w:fill="auto"/>
                <w:tcMar>
                  <w:top w:w="100" w:type="dxa"/>
                  <w:left w:w="100" w:type="dxa"/>
                  <w:bottom w:w="100" w:type="dxa"/>
                  <w:right w:w="100" w:type="dxa"/>
                </w:tcMar>
              </w:tcPr>
              <w:p w14:paraId="7441D420" w14:textId="77777777" w:rsidR="008B3252" w:rsidRDefault="008B3252" w:rsidP="003C2C7C">
                <w:pPr>
                  <w:widowControl w:val="0"/>
                  <w:pBdr>
                    <w:top w:val="nil"/>
                    <w:left w:val="nil"/>
                    <w:bottom w:val="nil"/>
                    <w:right w:val="nil"/>
                    <w:between w:val="nil"/>
                  </w:pBdr>
                  <w:spacing w:after="0"/>
                  <w:rPr>
                    <w:b/>
                    <w:bCs/>
                    <w:sz w:val="24"/>
                    <w:szCs w:val="24"/>
                  </w:rPr>
                </w:pPr>
                <w:r>
                  <w:rPr>
                    <w:b/>
                    <w:bCs/>
                    <w:sz w:val="24"/>
                    <w:szCs w:val="24"/>
                  </w:rPr>
                  <w:t>Entidad/Organización</w:t>
                </w:r>
              </w:p>
            </w:tc>
            <w:tc>
              <w:tcPr>
                <w:tcW w:w="2351" w:type="dxa"/>
                <w:shd w:val="clear" w:color="auto" w:fill="auto"/>
                <w:tcMar>
                  <w:top w:w="100" w:type="dxa"/>
                  <w:left w:w="100" w:type="dxa"/>
                  <w:bottom w:w="100" w:type="dxa"/>
                  <w:right w:w="100" w:type="dxa"/>
                </w:tcMar>
              </w:tcPr>
              <w:p w14:paraId="1C73B2AF" w14:textId="77777777" w:rsidR="008B3252" w:rsidRDefault="008B3252" w:rsidP="003C2C7C">
                <w:pPr>
                  <w:widowControl w:val="0"/>
                  <w:pBdr>
                    <w:top w:val="nil"/>
                    <w:left w:val="nil"/>
                    <w:bottom w:val="nil"/>
                    <w:right w:val="nil"/>
                    <w:between w:val="nil"/>
                  </w:pBdr>
                  <w:spacing w:after="0"/>
                  <w:rPr>
                    <w:b/>
                    <w:bCs/>
                    <w:sz w:val="24"/>
                    <w:szCs w:val="24"/>
                  </w:rPr>
                </w:pPr>
                <w:r>
                  <w:rPr>
                    <w:b/>
                    <w:bCs/>
                    <w:sz w:val="24"/>
                    <w:szCs w:val="24"/>
                  </w:rPr>
                  <w:t>Nacional/Internacional/Territorial</w:t>
                </w:r>
              </w:p>
            </w:tc>
          </w:tr>
          <w:tr w:rsidR="008B3252" w14:paraId="7F671DAD" w14:textId="77777777" w:rsidTr="003C2C7C">
            <w:tc>
              <w:tcPr>
                <w:tcW w:w="2351" w:type="dxa"/>
                <w:shd w:val="clear" w:color="auto" w:fill="auto"/>
                <w:tcMar>
                  <w:top w:w="100" w:type="dxa"/>
                  <w:left w:w="100" w:type="dxa"/>
                  <w:bottom w:w="100" w:type="dxa"/>
                  <w:right w:w="100" w:type="dxa"/>
                </w:tcMar>
              </w:tcPr>
              <w:p w14:paraId="4F65169A" w14:textId="77777777" w:rsidR="008B3252" w:rsidRDefault="008B3252" w:rsidP="003C2C7C">
                <w:pPr>
                  <w:widowControl w:val="0"/>
                  <w:pBdr>
                    <w:top w:val="nil"/>
                    <w:left w:val="nil"/>
                    <w:bottom w:val="nil"/>
                    <w:right w:val="nil"/>
                    <w:between w:val="nil"/>
                  </w:pBdr>
                  <w:spacing w:after="0"/>
                  <w:rPr>
                    <w:sz w:val="24"/>
                    <w:szCs w:val="24"/>
                  </w:rPr>
                </w:pPr>
                <w:r>
                  <w:rPr>
                    <w:sz w:val="24"/>
                    <w:szCs w:val="24"/>
                  </w:rPr>
                  <w:t>Minería en Cifras - Indicadores socioeconómicos</w:t>
                </w:r>
              </w:p>
            </w:tc>
            <w:tc>
              <w:tcPr>
                <w:tcW w:w="2351" w:type="dxa"/>
                <w:shd w:val="clear" w:color="auto" w:fill="auto"/>
                <w:tcMar>
                  <w:top w:w="100" w:type="dxa"/>
                  <w:left w:w="100" w:type="dxa"/>
                  <w:bottom w:w="100" w:type="dxa"/>
                  <w:right w:w="100" w:type="dxa"/>
                </w:tcMar>
              </w:tcPr>
              <w:p w14:paraId="7420DFA5" w14:textId="77777777" w:rsidR="008B3252" w:rsidRDefault="008B3252" w:rsidP="003C2C7C">
                <w:pPr>
                  <w:widowControl w:val="0"/>
                  <w:pBdr>
                    <w:top w:val="nil"/>
                    <w:left w:val="nil"/>
                    <w:bottom w:val="nil"/>
                    <w:right w:val="nil"/>
                    <w:between w:val="nil"/>
                  </w:pBdr>
                  <w:spacing w:after="0"/>
                  <w:rPr>
                    <w:sz w:val="24"/>
                    <w:szCs w:val="24"/>
                  </w:rPr>
                </w:pPr>
                <w:r>
                  <w:rPr>
                    <w:sz w:val="24"/>
                    <w:szCs w:val="24"/>
                  </w:rPr>
                  <w:t xml:space="preserve">Documentos técnicos </w:t>
                </w:r>
              </w:p>
            </w:tc>
            <w:tc>
              <w:tcPr>
                <w:tcW w:w="2351" w:type="dxa"/>
                <w:shd w:val="clear" w:color="auto" w:fill="auto"/>
                <w:tcMar>
                  <w:top w:w="100" w:type="dxa"/>
                  <w:left w:w="100" w:type="dxa"/>
                  <w:bottom w:w="100" w:type="dxa"/>
                  <w:right w:w="100" w:type="dxa"/>
                </w:tcMar>
              </w:tcPr>
              <w:p w14:paraId="2C30A4A5" w14:textId="77777777" w:rsidR="008B3252" w:rsidRDefault="008B3252" w:rsidP="003C2C7C">
                <w:pPr>
                  <w:widowControl w:val="0"/>
                  <w:pBdr>
                    <w:top w:val="nil"/>
                    <w:left w:val="nil"/>
                    <w:bottom w:val="nil"/>
                    <w:right w:val="nil"/>
                    <w:between w:val="nil"/>
                  </w:pBdr>
                  <w:spacing w:after="0"/>
                  <w:rPr>
                    <w:sz w:val="24"/>
                    <w:szCs w:val="24"/>
                  </w:rPr>
                </w:pPr>
                <w:r>
                  <w:rPr>
                    <w:sz w:val="24"/>
                    <w:szCs w:val="24"/>
                  </w:rPr>
                  <w:t>Agencia Nacional de Minería (ANM)</w:t>
                </w:r>
              </w:p>
            </w:tc>
            <w:tc>
              <w:tcPr>
                <w:tcW w:w="2351" w:type="dxa"/>
                <w:shd w:val="clear" w:color="auto" w:fill="auto"/>
                <w:tcMar>
                  <w:top w:w="100" w:type="dxa"/>
                  <w:left w:w="100" w:type="dxa"/>
                  <w:bottom w:w="100" w:type="dxa"/>
                  <w:right w:w="100" w:type="dxa"/>
                </w:tcMar>
              </w:tcPr>
              <w:p w14:paraId="61291067" w14:textId="77777777" w:rsidR="008B3252" w:rsidRDefault="008B3252" w:rsidP="003C2C7C">
                <w:pPr>
                  <w:widowControl w:val="0"/>
                  <w:pBdr>
                    <w:top w:val="nil"/>
                    <w:left w:val="nil"/>
                    <w:bottom w:val="nil"/>
                    <w:right w:val="nil"/>
                    <w:between w:val="nil"/>
                  </w:pBdr>
                  <w:spacing w:after="0"/>
                  <w:rPr>
                    <w:sz w:val="24"/>
                    <w:szCs w:val="24"/>
                  </w:rPr>
                </w:pPr>
                <w:r>
                  <w:rPr>
                    <w:sz w:val="24"/>
                    <w:szCs w:val="24"/>
                  </w:rPr>
                  <w:t>Nacional</w:t>
                </w:r>
              </w:p>
            </w:tc>
          </w:tr>
          <w:tr w:rsidR="008B3252" w14:paraId="26148ACA" w14:textId="77777777" w:rsidTr="003C2C7C">
            <w:tc>
              <w:tcPr>
                <w:tcW w:w="2351" w:type="dxa"/>
                <w:shd w:val="clear" w:color="auto" w:fill="auto"/>
                <w:tcMar>
                  <w:top w:w="100" w:type="dxa"/>
                  <w:left w:w="100" w:type="dxa"/>
                  <w:bottom w:w="100" w:type="dxa"/>
                  <w:right w:w="100" w:type="dxa"/>
                </w:tcMar>
              </w:tcPr>
              <w:p w14:paraId="31EA6305" w14:textId="77777777" w:rsidR="008B3252" w:rsidRDefault="008B3252" w:rsidP="003C2C7C">
                <w:pPr>
                  <w:widowControl w:val="0"/>
                  <w:pBdr>
                    <w:top w:val="nil"/>
                    <w:left w:val="nil"/>
                    <w:bottom w:val="nil"/>
                    <w:right w:val="nil"/>
                    <w:between w:val="nil"/>
                  </w:pBdr>
                  <w:spacing w:after="0"/>
                  <w:rPr>
                    <w:sz w:val="24"/>
                    <w:szCs w:val="24"/>
                  </w:rPr>
                </w:pPr>
                <w:r>
                  <w:rPr>
                    <w:sz w:val="24"/>
                    <w:szCs w:val="24"/>
                  </w:rPr>
                  <w:t xml:space="preserve">Hoja de Ruta Transición Energética </w:t>
                </w:r>
              </w:p>
            </w:tc>
            <w:tc>
              <w:tcPr>
                <w:tcW w:w="2351" w:type="dxa"/>
                <w:shd w:val="clear" w:color="auto" w:fill="auto"/>
                <w:tcMar>
                  <w:top w:w="100" w:type="dxa"/>
                  <w:left w:w="100" w:type="dxa"/>
                  <w:bottom w:w="100" w:type="dxa"/>
                  <w:right w:w="100" w:type="dxa"/>
                </w:tcMar>
              </w:tcPr>
              <w:p w14:paraId="07E58352" w14:textId="77777777" w:rsidR="008B3252" w:rsidRDefault="008B3252" w:rsidP="003C2C7C">
                <w:pPr>
                  <w:widowControl w:val="0"/>
                  <w:pBdr>
                    <w:top w:val="nil"/>
                    <w:left w:val="nil"/>
                    <w:bottom w:val="nil"/>
                    <w:right w:val="nil"/>
                    <w:between w:val="nil"/>
                  </w:pBdr>
                  <w:spacing w:after="0"/>
                  <w:rPr>
                    <w:sz w:val="24"/>
                    <w:szCs w:val="24"/>
                  </w:rPr>
                </w:pPr>
                <w:r>
                  <w:rPr>
                    <w:sz w:val="24"/>
                    <w:szCs w:val="24"/>
                  </w:rPr>
                  <w:t>Documentos técnicos</w:t>
                </w:r>
              </w:p>
            </w:tc>
            <w:tc>
              <w:tcPr>
                <w:tcW w:w="2351" w:type="dxa"/>
                <w:shd w:val="clear" w:color="auto" w:fill="auto"/>
                <w:tcMar>
                  <w:top w:w="100" w:type="dxa"/>
                  <w:left w:w="100" w:type="dxa"/>
                  <w:bottom w:w="100" w:type="dxa"/>
                  <w:right w:w="100" w:type="dxa"/>
                </w:tcMar>
              </w:tcPr>
              <w:p w14:paraId="0AEBA5BA" w14:textId="77777777" w:rsidR="008B3252" w:rsidRDefault="008B3252" w:rsidP="003C2C7C">
                <w:pPr>
                  <w:widowControl w:val="0"/>
                  <w:pBdr>
                    <w:top w:val="nil"/>
                    <w:left w:val="nil"/>
                    <w:bottom w:val="nil"/>
                    <w:right w:val="nil"/>
                    <w:between w:val="nil"/>
                  </w:pBdr>
                  <w:spacing w:after="0"/>
                  <w:rPr>
                    <w:sz w:val="24"/>
                    <w:szCs w:val="24"/>
                  </w:rPr>
                </w:pPr>
                <w:r>
                  <w:rPr>
                    <w:sz w:val="24"/>
                    <w:szCs w:val="24"/>
                  </w:rPr>
                  <w:t>Ministerio de Minas y Energía (MME)</w:t>
                </w:r>
              </w:p>
            </w:tc>
            <w:tc>
              <w:tcPr>
                <w:tcW w:w="2351" w:type="dxa"/>
                <w:shd w:val="clear" w:color="auto" w:fill="auto"/>
                <w:tcMar>
                  <w:top w:w="100" w:type="dxa"/>
                  <w:left w:w="100" w:type="dxa"/>
                  <w:bottom w:w="100" w:type="dxa"/>
                  <w:right w:w="100" w:type="dxa"/>
                </w:tcMar>
              </w:tcPr>
              <w:p w14:paraId="0D41883F" w14:textId="77777777" w:rsidR="008B3252" w:rsidRDefault="008B3252" w:rsidP="003C2C7C">
                <w:pPr>
                  <w:widowControl w:val="0"/>
                  <w:pBdr>
                    <w:top w:val="nil"/>
                    <w:left w:val="nil"/>
                    <w:bottom w:val="nil"/>
                    <w:right w:val="nil"/>
                    <w:between w:val="nil"/>
                  </w:pBdr>
                  <w:spacing w:after="0"/>
                  <w:rPr>
                    <w:sz w:val="24"/>
                    <w:szCs w:val="24"/>
                  </w:rPr>
                </w:pPr>
                <w:r>
                  <w:rPr>
                    <w:sz w:val="24"/>
                    <w:szCs w:val="24"/>
                  </w:rPr>
                  <w:t>Nacional</w:t>
                </w:r>
              </w:p>
            </w:tc>
          </w:tr>
          <w:tr w:rsidR="008B3252" w14:paraId="4948B611" w14:textId="77777777" w:rsidTr="003C2C7C">
            <w:tc>
              <w:tcPr>
                <w:tcW w:w="2351" w:type="dxa"/>
                <w:shd w:val="clear" w:color="auto" w:fill="auto"/>
                <w:tcMar>
                  <w:top w:w="100" w:type="dxa"/>
                  <w:left w:w="100" w:type="dxa"/>
                  <w:bottom w:w="100" w:type="dxa"/>
                  <w:right w:w="100" w:type="dxa"/>
                </w:tcMar>
              </w:tcPr>
              <w:p w14:paraId="7D1D402B" w14:textId="77777777" w:rsidR="008B3252" w:rsidRDefault="008B3252" w:rsidP="003C2C7C">
                <w:pPr>
                  <w:widowControl w:val="0"/>
                  <w:pBdr>
                    <w:top w:val="nil"/>
                    <w:left w:val="nil"/>
                    <w:bottom w:val="nil"/>
                    <w:right w:val="nil"/>
                    <w:between w:val="nil"/>
                  </w:pBdr>
                  <w:spacing w:after="0"/>
                  <w:rPr>
                    <w:sz w:val="24"/>
                    <w:szCs w:val="24"/>
                  </w:rPr>
                </w:pPr>
                <w:r>
                  <w:rPr>
                    <w:sz w:val="24"/>
                    <w:szCs w:val="24"/>
                  </w:rPr>
                  <w:t xml:space="preserve">Borrador Proyecto de Ley Nueva Ley Minera </w:t>
                </w:r>
              </w:p>
            </w:tc>
            <w:tc>
              <w:tcPr>
                <w:tcW w:w="2351" w:type="dxa"/>
                <w:shd w:val="clear" w:color="auto" w:fill="auto"/>
                <w:tcMar>
                  <w:top w:w="100" w:type="dxa"/>
                  <w:left w:w="100" w:type="dxa"/>
                  <w:bottom w:w="100" w:type="dxa"/>
                  <w:right w:w="100" w:type="dxa"/>
                </w:tcMar>
              </w:tcPr>
              <w:p w14:paraId="6633BB30" w14:textId="77777777" w:rsidR="008B3252" w:rsidRDefault="008B3252" w:rsidP="003C2C7C">
                <w:pPr>
                  <w:widowControl w:val="0"/>
                  <w:pBdr>
                    <w:top w:val="nil"/>
                    <w:left w:val="nil"/>
                    <w:bottom w:val="nil"/>
                    <w:right w:val="nil"/>
                    <w:between w:val="nil"/>
                  </w:pBdr>
                  <w:spacing w:after="0"/>
                  <w:rPr>
                    <w:sz w:val="24"/>
                    <w:szCs w:val="24"/>
                  </w:rPr>
                </w:pPr>
                <w:r>
                  <w:rPr>
                    <w:sz w:val="24"/>
                    <w:szCs w:val="24"/>
                  </w:rPr>
                  <w:t>Documentos técnicos</w:t>
                </w:r>
              </w:p>
            </w:tc>
            <w:tc>
              <w:tcPr>
                <w:tcW w:w="2351" w:type="dxa"/>
                <w:shd w:val="clear" w:color="auto" w:fill="auto"/>
                <w:tcMar>
                  <w:top w:w="100" w:type="dxa"/>
                  <w:left w:w="100" w:type="dxa"/>
                  <w:bottom w:w="100" w:type="dxa"/>
                  <w:right w:w="100" w:type="dxa"/>
                </w:tcMar>
              </w:tcPr>
              <w:p w14:paraId="69A10D28" w14:textId="77777777" w:rsidR="008B3252" w:rsidRDefault="008B3252" w:rsidP="003C2C7C">
                <w:pPr>
                  <w:widowControl w:val="0"/>
                  <w:pBdr>
                    <w:top w:val="nil"/>
                    <w:left w:val="nil"/>
                    <w:bottom w:val="nil"/>
                    <w:right w:val="nil"/>
                    <w:between w:val="nil"/>
                  </w:pBdr>
                  <w:spacing w:after="0"/>
                  <w:rPr>
                    <w:sz w:val="24"/>
                    <w:szCs w:val="24"/>
                  </w:rPr>
                </w:pPr>
                <w:r>
                  <w:rPr>
                    <w:sz w:val="24"/>
                    <w:szCs w:val="24"/>
                  </w:rPr>
                  <w:t>Ministerio de Minas y Energía (MME)</w:t>
                </w:r>
              </w:p>
            </w:tc>
            <w:tc>
              <w:tcPr>
                <w:tcW w:w="2351" w:type="dxa"/>
                <w:shd w:val="clear" w:color="auto" w:fill="auto"/>
                <w:tcMar>
                  <w:top w:w="100" w:type="dxa"/>
                  <w:left w:w="100" w:type="dxa"/>
                  <w:bottom w:w="100" w:type="dxa"/>
                  <w:right w:w="100" w:type="dxa"/>
                </w:tcMar>
              </w:tcPr>
              <w:p w14:paraId="6282A6DF" w14:textId="77777777" w:rsidR="008B3252" w:rsidRDefault="008B3252" w:rsidP="003C2C7C">
                <w:pPr>
                  <w:widowControl w:val="0"/>
                  <w:pBdr>
                    <w:top w:val="nil"/>
                    <w:left w:val="nil"/>
                    <w:bottom w:val="nil"/>
                    <w:right w:val="nil"/>
                    <w:between w:val="nil"/>
                  </w:pBdr>
                  <w:spacing w:after="0"/>
                  <w:rPr>
                    <w:sz w:val="24"/>
                    <w:szCs w:val="24"/>
                  </w:rPr>
                </w:pPr>
                <w:r>
                  <w:rPr>
                    <w:sz w:val="24"/>
                    <w:szCs w:val="24"/>
                  </w:rPr>
                  <w:t>Nacional</w:t>
                </w:r>
              </w:p>
            </w:tc>
          </w:tr>
          <w:tr w:rsidR="008B3252" w14:paraId="174ED6DB" w14:textId="77777777" w:rsidTr="003C2C7C">
            <w:tc>
              <w:tcPr>
                <w:tcW w:w="2351" w:type="dxa"/>
                <w:shd w:val="clear" w:color="auto" w:fill="auto"/>
                <w:tcMar>
                  <w:top w:w="100" w:type="dxa"/>
                  <w:left w:w="100" w:type="dxa"/>
                  <w:bottom w:w="100" w:type="dxa"/>
                  <w:right w:w="100" w:type="dxa"/>
                </w:tcMar>
              </w:tcPr>
              <w:p w14:paraId="057D8A17" w14:textId="77777777" w:rsidR="008B3252" w:rsidRDefault="008B3252" w:rsidP="003C2C7C">
                <w:pPr>
                  <w:widowControl w:val="0"/>
                  <w:pBdr>
                    <w:top w:val="nil"/>
                    <w:left w:val="nil"/>
                    <w:bottom w:val="nil"/>
                    <w:right w:val="nil"/>
                    <w:between w:val="nil"/>
                  </w:pBdr>
                  <w:spacing w:after="0"/>
                  <w:rPr>
                    <w:sz w:val="24"/>
                    <w:szCs w:val="24"/>
                  </w:rPr>
                </w:pPr>
                <w:r>
                  <w:rPr>
                    <w:sz w:val="24"/>
                    <w:szCs w:val="24"/>
                  </w:rPr>
                  <w:t>Acta de Audiencia Pública Minera Magdalena</w:t>
                </w:r>
              </w:p>
            </w:tc>
            <w:tc>
              <w:tcPr>
                <w:tcW w:w="2351" w:type="dxa"/>
                <w:shd w:val="clear" w:color="auto" w:fill="auto"/>
                <w:tcMar>
                  <w:top w:w="100" w:type="dxa"/>
                  <w:left w:w="100" w:type="dxa"/>
                  <w:bottom w:w="100" w:type="dxa"/>
                  <w:right w:w="100" w:type="dxa"/>
                </w:tcMar>
              </w:tcPr>
              <w:p w14:paraId="3C2734A6" w14:textId="77777777" w:rsidR="008B3252" w:rsidRDefault="008B3252" w:rsidP="003C2C7C">
                <w:pPr>
                  <w:widowControl w:val="0"/>
                  <w:pBdr>
                    <w:top w:val="nil"/>
                    <w:left w:val="nil"/>
                    <w:bottom w:val="nil"/>
                    <w:right w:val="nil"/>
                    <w:between w:val="nil"/>
                  </w:pBdr>
                  <w:spacing w:after="0"/>
                  <w:rPr>
                    <w:sz w:val="24"/>
                    <w:szCs w:val="24"/>
                  </w:rPr>
                </w:pPr>
                <w:r>
                  <w:rPr>
                    <w:sz w:val="24"/>
                    <w:szCs w:val="24"/>
                  </w:rPr>
                  <w:t>Documentos técnicos</w:t>
                </w:r>
              </w:p>
            </w:tc>
            <w:tc>
              <w:tcPr>
                <w:tcW w:w="2351" w:type="dxa"/>
                <w:shd w:val="clear" w:color="auto" w:fill="auto"/>
                <w:tcMar>
                  <w:top w:w="100" w:type="dxa"/>
                  <w:left w:w="100" w:type="dxa"/>
                  <w:bottom w:w="100" w:type="dxa"/>
                  <w:right w:w="100" w:type="dxa"/>
                </w:tcMar>
              </w:tcPr>
              <w:p w14:paraId="471BA928" w14:textId="77777777" w:rsidR="008B3252" w:rsidRDefault="008B3252" w:rsidP="003C2C7C">
                <w:pPr>
                  <w:widowControl w:val="0"/>
                  <w:pBdr>
                    <w:top w:val="nil"/>
                    <w:left w:val="nil"/>
                    <w:bottom w:val="nil"/>
                    <w:right w:val="nil"/>
                    <w:between w:val="nil"/>
                  </w:pBdr>
                  <w:spacing w:after="0"/>
                  <w:rPr>
                    <w:sz w:val="24"/>
                    <w:szCs w:val="24"/>
                  </w:rPr>
                </w:pPr>
                <w:r>
                  <w:rPr>
                    <w:sz w:val="24"/>
                    <w:szCs w:val="24"/>
                  </w:rPr>
                  <w:t>Agencia Nacional de Minería (ANM)</w:t>
                </w:r>
              </w:p>
            </w:tc>
            <w:tc>
              <w:tcPr>
                <w:tcW w:w="2351" w:type="dxa"/>
                <w:shd w:val="clear" w:color="auto" w:fill="auto"/>
                <w:tcMar>
                  <w:top w:w="100" w:type="dxa"/>
                  <w:left w:w="100" w:type="dxa"/>
                  <w:bottom w:w="100" w:type="dxa"/>
                  <w:right w:w="100" w:type="dxa"/>
                </w:tcMar>
              </w:tcPr>
              <w:p w14:paraId="0B35501B" w14:textId="77777777" w:rsidR="008B3252" w:rsidRDefault="008B3252" w:rsidP="003C2C7C">
                <w:pPr>
                  <w:widowControl w:val="0"/>
                  <w:pBdr>
                    <w:top w:val="nil"/>
                    <w:left w:val="nil"/>
                    <w:bottom w:val="nil"/>
                    <w:right w:val="nil"/>
                    <w:between w:val="nil"/>
                  </w:pBdr>
                  <w:spacing w:after="0"/>
                  <w:rPr>
                    <w:sz w:val="24"/>
                    <w:szCs w:val="24"/>
                  </w:rPr>
                </w:pPr>
                <w:r>
                  <w:rPr>
                    <w:sz w:val="24"/>
                    <w:szCs w:val="24"/>
                  </w:rPr>
                  <w:t>Territorial</w:t>
                </w:r>
              </w:p>
            </w:tc>
          </w:tr>
          <w:tr w:rsidR="008B3252" w14:paraId="4E81DD23" w14:textId="77777777" w:rsidTr="003C2C7C">
            <w:tc>
              <w:tcPr>
                <w:tcW w:w="2351" w:type="dxa"/>
                <w:shd w:val="clear" w:color="auto" w:fill="auto"/>
                <w:tcMar>
                  <w:top w:w="100" w:type="dxa"/>
                  <w:left w:w="100" w:type="dxa"/>
                  <w:bottom w:w="100" w:type="dxa"/>
                  <w:right w:w="100" w:type="dxa"/>
                </w:tcMar>
              </w:tcPr>
              <w:p w14:paraId="46954821" w14:textId="77777777" w:rsidR="008B3252" w:rsidRDefault="008B3252" w:rsidP="003C2C7C">
                <w:pPr>
                  <w:widowControl w:val="0"/>
                  <w:pBdr>
                    <w:top w:val="nil"/>
                    <w:left w:val="nil"/>
                    <w:bottom w:val="nil"/>
                    <w:right w:val="nil"/>
                    <w:between w:val="nil"/>
                  </w:pBdr>
                  <w:spacing w:after="0"/>
                  <w:rPr>
                    <w:sz w:val="24"/>
                    <w:szCs w:val="24"/>
                  </w:rPr>
                </w:pPr>
                <w:r>
                  <w:rPr>
                    <w:sz w:val="24"/>
                    <w:szCs w:val="24"/>
                  </w:rPr>
                  <w:lastRenderedPageBreak/>
                  <w:t>Acta de Audiencia Pública Minera Cesar</w:t>
                </w:r>
              </w:p>
            </w:tc>
            <w:tc>
              <w:tcPr>
                <w:tcW w:w="2351" w:type="dxa"/>
                <w:shd w:val="clear" w:color="auto" w:fill="auto"/>
                <w:tcMar>
                  <w:top w:w="100" w:type="dxa"/>
                  <w:left w:w="100" w:type="dxa"/>
                  <w:bottom w:w="100" w:type="dxa"/>
                  <w:right w:w="100" w:type="dxa"/>
                </w:tcMar>
              </w:tcPr>
              <w:p w14:paraId="67FCF925" w14:textId="77777777" w:rsidR="008B3252" w:rsidRDefault="008B3252" w:rsidP="003C2C7C">
                <w:pPr>
                  <w:widowControl w:val="0"/>
                  <w:pBdr>
                    <w:top w:val="nil"/>
                    <w:left w:val="nil"/>
                    <w:bottom w:val="nil"/>
                    <w:right w:val="nil"/>
                    <w:between w:val="nil"/>
                  </w:pBdr>
                  <w:spacing w:after="0"/>
                  <w:rPr>
                    <w:sz w:val="24"/>
                    <w:szCs w:val="24"/>
                  </w:rPr>
                </w:pPr>
                <w:r>
                  <w:rPr>
                    <w:sz w:val="24"/>
                    <w:szCs w:val="24"/>
                  </w:rPr>
                  <w:t>Documentos técnicos</w:t>
                </w:r>
              </w:p>
            </w:tc>
            <w:tc>
              <w:tcPr>
                <w:tcW w:w="2351" w:type="dxa"/>
                <w:shd w:val="clear" w:color="auto" w:fill="auto"/>
                <w:tcMar>
                  <w:top w:w="100" w:type="dxa"/>
                  <w:left w:w="100" w:type="dxa"/>
                  <w:bottom w:w="100" w:type="dxa"/>
                  <w:right w:w="100" w:type="dxa"/>
                </w:tcMar>
              </w:tcPr>
              <w:p w14:paraId="6EEEF481" w14:textId="77777777" w:rsidR="008B3252" w:rsidRDefault="008B3252" w:rsidP="003C2C7C">
                <w:pPr>
                  <w:widowControl w:val="0"/>
                  <w:pBdr>
                    <w:top w:val="nil"/>
                    <w:left w:val="nil"/>
                    <w:bottom w:val="nil"/>
                    <w:right w:val="nil"/>
                    <w:between w:val="nil"/>
                  </w:pBdr>
                  <w:spacing w:after="0"/>
                  <w:rPr>
                    <w:sz w:val="24"/>
                    <w:szCs w:val="24"/>
                  </w:rPr>
                </w:pPr>
                <w:r>
                  <w:rPr>
                    <w:sz w:val="24"/>
                    <w:szCs w:val="24"/>
                  </w:rPr>
                  <w:t>Agencia Nacional de Minería (ANM)</w:t>
                </w:r>
              </w:p>
            </w:tc>
            <w:tc>
              <w:tcPr>
                <w:tcW w:w="2351" w:type="dxa"/>
                <w:shd w:val="clear" w:color="auto" w:fill="auto"/>
                <w:tcMar>
                  <w:top w:w="100" w:type="dxa"/>
                  <w:left w:w="100" w:type="dxa"/>
                  <w:bottom w:w="100" w:type="dxa"/>
                  <w:right w:w="100" w:type="dxa"/>
                </w:tcMar>
              </w:tcPr>
              <w:p w14:paraId="6026E090" w14:textId="77777777" w:rsidR="008B3252" w:rsidRDefault="008B3252" w:rsidP="003C2C7C">
                <w:pPr>
                  <w:widowControl w:val="0"/>
                  <w:pBdr>
                    <w:top w:val="nil"/>
                    <w:left w:val="nil"/>
                    <w:bottom w:val="nil"/>
                    <w:right w:val="nil"/>
                    <w:between w:val="nil"/>
                  </w:pBdr>
                  <w:spacing w:after="0"/>
                  <w:rPr>
                    <w:sz w:val="24"/>
                    <w:szCs w:val="24"/>
                  </w:rPr>
                </w:pPr>
                <w:r>
                  <w:rPr>
                    <w:sz w:val="24"/>
                    <w:szCs w:val="24"/>
                  </w:rPr>
                  <w:t>Territorial</w:t>
                </w:r>
              </w:p>
            </w:tc>
          </w:tr>
          <w:tr w:rsidR="008B3252" w14:paraId="2478F8F3" w14:textId="77777777" w:rsidTr="003C2C7C">
            <w:tc>
              <w:tcPr>
                <w:tcW w:w="2351" w:type="dxa"/>
                <w:shd w:val="clear" w:color="auto" w:fill="auto"/>
                <w:tcMar>
                  <w:top w:w="100" w:type="dxa"/>
                  <w:left w:w="100" w:type="dxa"/>
                  <w:bottom w:w="100" w:type="dxa"/>
                  <w:right w:w="100" w:type="dxa"/>
                </w:tcMar>
              </w:tcPr>
              <w:p w14:paraId="670D65F9" w14:textId="77777777" w:rsidR="008B3252" w:rsidRDefault="008B3252" w:rsidP="003C2C7C">
                <w:pPr>
                  <w:widowControl w:val="0"/>
                  <w:pBdr>
                    <w:top w:val="nil"/>
                    <w:left w:val="nil"/>
                    <w:bottom w:val="nil"/>
                    <w:right w:val="nil"/>
                    <w:between w:val="nil"/>
                  </w:pBdr>
                  <w:spacing w:after="0"/>
                  <w:rPr>
                    <w:sz w:val="24"/>
                    <w:szCs w:val="24"/>
                  </w:rPr>
                </w:pPr>
                <w:r>
                  <w:rPr>
                    <w:sz w:val="24"/>
                    <w:szCs w:val="24"/>
                  </w:rPr>
                  <w:t>Acta de Audiencia Pública Minera La Guajira</w:t>
                </w:r>
              </w:p>
            </w:tc>
            <w:tc>
              <w:tcPr>
                <w:tcW w:w="2351" w:type="dxa"/>
                <w:shd w:val="clear" w:color="auto" w:fill="auto"/>
                <w:tcMar>
                  <w:top w:w="100" w:type="dxa"/>
                  <w:left w:w="100" w:type="dxa"/>
                  <w:bottom w:w="100" w:type="dxa"/>
                  <w:right w:w="100" w:type="dxa"/>
                </w:tcMar>
              </w:tcPr>
              <w:p w14:paraId="080DEEA2" w14:textId="77777777" w:rsidR="008B3252" w:rsidRDefault="008B3252" w:rsidP="003C2C7C">
                <w:pPr>
                  <w:widowControl w:val="0"/>
                  <w:pBdr>
                    <w:top w:val="nil"/>
                    <w:left w:val="nil"/>
                    <w:bottom w:val="nil"/>
                    <w:right w:val="nil"/>
                    <w:between w:val="nil"/>
                  </w:pBdr>
                  <w:spacing w:after="0"/>
                  <w:rPr>
                    <w:sz w:val="24"/>
                    <w:szCs w:val="24"/>
                  </w:rPr>
                </w:pPr>
                <w:r>
                  <w:rPr>
                    <w:sz w:val="24"/>
                    <w:szCs w:val="24"/>
                  </w:rPr>
                  <w:t>Documentos técnicos</w:t>
                </w:r>
              </w:p>
            </w:tc>
            <w:tc>
              <w:tcPr>
                <w:tcW w:w="2351" w:type="dxa"/>
                <w:shd w:val="clear" w:color="auto" w:fill="auto"/>
                <w:tcMar>
                  <w:top w:w="100" w:type="dxa"/>
                  <w:left w:w="100" w:type="dxa"/>
                  <w:bottom w:w="100" w:type="dxa"/>
                  <w:right w:w="100" w:type="dxa"/>
                </w:tcMar>
              </w:tcPr>
              <w:p w14:paraId="198862EB" w14:textId="77777777" w:rsidR="008B3252" w:rsidRDefault="008B3252" w:rsidP="003C2C7C">
                <w:pPr>
                  <w:widowControl w:val="0"/>
                  <w:pBdr>
                    <w:top w:val="nil"/>
                    <w:left w:val="nil"/>
                    <w:bottom w:val="nil"/>
                    <w:right w:val="nil"/>
                    <w:between w:val="nil"/>
                  </w:pBdr>
                  <w:spacing w:after="0"/>
                  <w:rPr>
                    <w:sz w:val="24"/>
                    <w:szCs w:val="24"/>
                  </w:rPr>
                </w:pPr>
                <w:r>
                  <w:rPr>
                    <w:sz w:val="24"/>
                    <w:szCs w:val="24"/>
                  </w:rPr>
                  <w:t>Agencia Nacional de Minería (ANM)</w:t>
                </w:r>
              </w:p>
            </w:tc>
            <w:tc>
              <w:tcPr>
                <w:tcW w:w="2351" w:type="dxa"/>
                <w:shd w:val="clear" w:color="auto" w:fill="auto"/>
                <w:tcMar>
                  <w:top w:w="100" w:type="dxa"/>
                  <w:left w:w="100" w:type="dxa"/>
                  <w:bottom w:w="100" w:type="dxa"/>
                  <w:right w:w="100" w:type="dxa"/>
                </w:tcMar>
              </w:tcPr>
              <w:p w14:paraId="20478F57" w14:textId="77777777" w:rsidR="008B3252" w:rsidRDefault="008B3252" w:rsidP="003C2C7C">
                <w:pPr>
                  <w:widowControl w:val="0"/>
                  <w:pBdr>
                    <w:top w:val="nil"/>
                    <w:left w:val="nil"/>
                    <w:bottom w:val="nil"/>
                    <w:right w:val="nil"/>
                    <w:between w:val="nil"/>
                  </w:pBdr>
                  <w:spacing w:after="0"/>
                  <w:rPr>
                    <w:sz w:val="24"/>
                    <w:szCs w:val="24"/>
                  </w:rPr>
                </w:pPr>
                <w:r>
                  <w:rPr>
                    <w:sz w:val="24"/>
                    <w:szCs w:val="24"/>
                  </w:rPr>
                  <w:t>Territorial</w:t>
                </w:r>
              </w:p>
              <w:p w14:paraId="7452B865" w14:textId="77777777" w:rsidR="008B3252" w:rsidRDefault="008B3252" w:rsidP="003C2C7C">
                <w:pPr>
                  <w:widowControl w:val="0"/>
                  <w:pBdr>
                    <w:top w:val="nil"/>
                    <w:left w:val="nil"/>
                    <w:bottom w:val="nil"/>
                    <w:right w:val="nil"/>
                    <w:between w:val="nil"/>
                  </w:pBdr>
                  <w:spacing w:after="0"/>
                  <w:rPr>
                    <w:sz w:val="24"/>
                    <w:szCs w:val="24"/>
                  </w:rPr>
                </w:pPr>
              </w:p>
            </w:tc>
          </w:tr>
          <w:tr w:rsidR="008B3252" w14:paraId="528072CF" w14:textId="77777777" w:rsidTr="003C2C7C">
            <w:tc>
              <w:tcPr>
                <w:tcW w:w="2351" w:type="dxa"/>
                <w:shd w:val="clear" w:color="auto" w:fill="auto"/>
                <w:tcMar>
                  <w:top w:w="100" w:type="dxa"/>
                  <w:left w:w="100" w:type="dxa"/>
                  <w:bottom w:w="100" w:type="dxa"/>
                  <w:right w:w="100" w:type="dxa"/>
                </w:tcMar>
              </w:tcPr>
              <w:p w14:paraId="4FF3384D" w14:textId="77777777" w:rsidR="008B3252" w:rsidRDefault="008B3252" w:rsidP="003C2C7C">
                <w:pPr>
                  <w:widowControl w:val="0"/>
                  <w:pBdr>
                    <w:top w:val="nil"/>
                    <w:left w:val="nil"/>
                    <w:bottom w:val="nil"/>
                    <w:right w:val="nil"/>
                    <w:between w:val="nil"/>
                  </w:pBdr>
                  <w:spacing w:after="0"/>
                  <w:rPr>
                    <w:sz w:val="24"/>
                    <w:szCs w:val="24"/>
                  </w:rPr>
                </w:pPr>
                <w:r>
                  <w:rPr>
                    <w:sz w:val="24"/>
                    <w:szCs w:val="24"/>
                  </w:rPr>
                  <w:t>2025 Progress Report on the 2030 Emissions Reduction Plan</w:t>
                </w:r>
              </w:p>
            </w:tc>
            <w:tc>
              <w:tcPr>
                <w:tcW w:w="2351" w:type="dxa"/>
                <w:shd w:val="clear" w:color="auto" w:fill="auto"/>
                <w:tcMar>
                  <w:top w:w="100" w:type="dxa"/>
                  <w:left w:w="100" w:type="dxa"/>
                  <w:bottom w:w="100" w:type="dxa"/>
                  <w:right w:w="100" w:type="dxa"/>
                </w:tcMar>
              </w:tcPr>
              <w:p w14:paraId="40C3BA63" w14:textId="77777777" w:rsidR="008B3252" w:rsidRDefault="008B3252" w:rsidP="003C2C7C">
                <w:pPr>
                  <w:widowControl w:val="0"/>
                  <w:pBdr>
                    <w:top w:val="nil"/>
                    <w:left w:val="nil"/>
                    <w:bottom w:val="nil"/>
                    <w:right w:val="nil"/>
                    <w:between w:val="nil"/>
                  </w:pBdr>
                  <w:spacing w:after="0"/>
                  <w:rPr>
                    <w:sz w:val="24"/>
                    <w:szCs w:val="24"/>
                  </w:rPr>
                </w:pPr>
                <w:r>
                  <w:rPr>
                    <w:sz w:val="24"/>
                    <w:szCs w:val="24"/>
                  </w:rPr>
                  <w:t>Documentos técnicos</w:t>
                </w:r>
              </w:p>
            </w:tc>
            <w:tc>
              <w:tcPr>
                <w:tcW w:w="2351" w:type="dxa"/>
                <w:shd w:val="clear" w:color="auto" w:fill="auto"/>
                <w:tcMar>
                  <w:top w:w="100" w:type="dxa"/>
                  <w:left w:w="100" w:type="dxa"/>
                  <w:bottom w:w="100" w:type="dxa"/>
                  <w:right w:w="100" w:type="dxa"/>
                </w:tcMar>
              </w:tcPr>
              <w:p w14:paraId="2FD24EB1" w14:textId="77777777" w:rsidR="008B3252" w:rsidRDefault="008B3252" w:rsidP="003C2C7C">
                <w:pPr>
                  <w:widowControl w:val="0"/>
                  <w:pBdr>
                    <w:top w:val="nil"/>
                    <w:left w:val="nil"/>
                    <w:bottom w:val="nil"/>
                    <w:right w:val="nil"/>
                    <w:between w:val="nil"/>
                  </w:pBdr>
                  <w:spacing w:after="0"/>
                  <w:rPr>
                    <w:sz w:val="24"/>
                    <w:szCs w:val="24"/>
                  </w:rPr>
                </w:pPr>
                <w:r>
                  <w:rPr>
                    <w:sz w:val="24"/>
                    <w:szCs w:val="24"/>
                  </w:rPr>
                  <w:t>Gobierno de Canadá</w:t>
                </w:r>
              </w:p>
            </w:tc>
            <w:tc>
              <w:tcPr>
                <w:tcW w:w="2351" w:type="dxa"/>
                <w:shd w:val="clear" w:color="auto" w:fill="auto"/>
                <w:tcMar>
                  <w:top w:w="100" w:type="dxa"/>
                  <w:left w:w="100" w:type="dxa"/>
                  <w:bottom w:w="100" w:type="dxa"/>
                  <w:right w:w="100" w:type="dxa"/>
                </w:tcMar>
              </w:tcPr>
              <w:p w14:paraId="3221B744" w14:textId="77777777" w:rsidR="008B3252" w:rsidRDefault="008B3252" w:rsidP="003C2C7C">
                <w:pPr>
                  <w:widowControl w:val="0"/>
                  <w:pBdr>
                    <w:top w:val="nil"/>
                    <w:left w:val="nil"/>
                    <w:bottom w:val="nil"/>
                    <w:right w:val="nil"/>
                    <w:between w:val="nil"/>
                  </w:pBdr>
                  <w:spacing w:after="0"/>
                  <w:rPr>
                    <w:sz w:val="24"/>
                    <w:szCs w:val="24"/>
                  </w:rPr>
                </w:pPr>
                <w:r>
                  <w:rPr>
                    <w:sz w:val="24"/>
                    <w:szCs w:val="24"/>
                  </w:rPr>
                  <w:t>Internacional</w:t>
                </w:r>
              </w:p>
            </w:tc>
          </w:tr>
          <w:tr w:rsidR="008B3252" w14:paraId="7C065413" w14:textId="77777777" w:rsidTr="003C2C7C">
            <w:tc>
              <w:tcPr>
                <w:tcW w:w="2351" w:type="dxa"/>
                <w:shd w:val="clear" w:color="auto" w:fill="auto"/>
                <w:tcMar>
                  <w:top w:w="100" w:type="dxa"/>
                  <w:left w:w="100" w:type="dxa"/>
                  <w:bottom w:w="100" w:type="dxa"/>
                  <w:right w:w="100" w:type="dxa"/>
                </w:tcMar>
              </w:tcPr>
              <w:p w14:paraId="24C15780" w14:textId="77777777" w:rsidR="008B3252" w:rsidRDefault="008B3252" w:rsidP="003C2C7C">
                <w:pPr>
                  <w:widowControl w:val="0"/>
                  <w:pBdr>
                    <w:top w:val="nil"/>
                    <w:left w:val="nil"/>
                    <w:bottom w:val="nil"/>
                    <w:right w:val="nil"/>
                    <w:between w:val="nil"/>
                  </w:pBdr>
                  <w:spacing w:after="0"/>
                  <w:rPr>
                    <w:sz w:val="24"/>
                    <w:szCs w:val="24"/>
                  </w:rPr>
                </w:pPr>
                <w:r>
                  <w:rPr>
                    <w:sz w:val="24"/>
                    <w:szCs w:val="24"/>
                  </w:rPr>
                  <w:t>2030 Emissions Reduction Plan: Clean Air, Strong Economy</w:t>
                </w:r>
              </w:p>
            </w:tc>
            <w:tc>
              <w:tcPr>
                <w:tcW w:w="2351" w:type="dxa"/>
                <w:shd w:val="clear" w:color="auto" w:fill="auto"/>
                <w:tcMar>
                  <w:top w:w="100" w:type="dxa"/>
                  <w:left w:w="100" w:type="dxa"/>
                  <w:bottom w:w="100" w:type="dxa"/>
                  <w:right w:w="100" w:type="dxa"/>
                </w:tcMar>
              </w:tcPr>
              <w:p w14:paraId="28469D59" w14:textId="77777777" w:rsidR="008B3252" w:rsidRDefault="008B3252" w:rsidP="003C2C7C">
                <w:pPr>
                  <w:widowControl w:val="0"/>
                  <w:pBdr>
                    <w:top w:val="nil"/>
                    <w:left w:val="nil"/>
                    <w:bottom w:val="nil"/>
                    <w:right w:val="nil"/>
                    <w:between w:val="nil"/>
                  </w:pBdr>
                  <w:spacing w:after="0"/>
                  <w:rPr>
                    <w:sz w:val="24"/>
                    <w:szCs w:val="24"/>
                  </w:rPr>
                </w:pPr>
                <w:r>
                  <w:rPr>
                    <w:sz w:val="24"/>
                    <w:szCs w:val="24"/>
                  </w:rPr>
                  <w:t>Documentos técnicos</w:t>
                </w:r>
              </w:p>
            </w:tc>
            <w:tc>
              <w:tcPr>
                <w:tcW w:w="2351" w:type="dxa"/>
                <w:shd w:val="clear" w:color="auto" w:fill="auto"/>
                <w:tcMar>
                  <w:top w:w="100" w:type="dxa"/>
                  <w:left w:w="100" w:type="dxa"/>
                  <w:bottom w:w="100" w:type="dxa"/>
                  <w:right w:w="100" w:type="dxa"/>
                </w:tcMar>
              </w:tcPr>
              <w:p w14:paraId="380F1CA0" w14:textId="77777777" w:rsidR="008B3252" w:rsidRDefault="008B3252" w:rsidP="003C2C7C">
                <w:pPr>
                  <w:widowControl w:val="0"/>
                  <w:pBdr>
                    <w:top w:val="nil"/>
                    <w:left w:val="nil"/>
                    <w:bottom w:val="nil"/>
                    <w:right w:val="nil"/>
                    <w:between w:val="nil"/>
                  </w:pBdr>
                  <w:spacing w:after="0"/>
                  <w:rPr>
                    <w:sz w:val="24"/>
                    <w:szCs w:val="24"/>
                  </w:rPr>
                </w:pPr>
                <w:r>
                  <w:rPr>
                    <w:sz w:val="24"/>
                    <w:szCs w:val="24"/>
                  </w:rPr>
                  <w:t>Gobierno de Canadá</w:t>
                </w:r>
              </w:p>
            </w:tc>
            <w:tc>
              <w:tcPr>
                <w:tcW w:w="2351" w:type="dxa"/>
                <w:shd w:val="clear" w:color="auto" w:fill="auto"/>
                <w:tcMar>
                  <w:top w:w="100" w:type="dxa"/>
                  <w:left w:w="100" w:type="dxa"/>
                  <w:bottom w:w="100" w:type="dxa"/>
                  <w:right w:w="100" w:type="dxa"/>
                </w:tcMar>
              </w:tcPr>
              <w:p w14:paraId="36C9EFEE" w14:textId="77777777" w:rsidR="008B3252" w:rsidRDefault="008B3252" w:rsidP="003C2C7C">
                <w:pPr>
                  <w:widowControl w:val="0"/>
                  <w:pBdr>
                    <w:top w:val="nil"/>
                    <w:left w:val="nil"/>
                    <w:bottom w:val="nil"/>
                    <w:right w:val="nil"/>
                    <w:between w:val="nil"/>
                  </w:pBdr>
                  <w:spacing w:after="0"/>
                  <w:rPr>
                    <w:sz w:val="24"/>
                    <w:szCs w:val="24"/>
                  </w:rPr>
                </w:pPr>
                <w:r>
                  <w:rPr>
                    <w:sz w:val="24"/>
                    <w:szCs w:val="24"/>
                  </w:rPr>
                  <w:t>Internacional</w:t>
                </w:r>
              </w:p>
            </w:tc>
          </w:tr>
          <w:tr w:rsidR="008B3252" w14:paraId="14CC7D86" w14:textId="77777777" w:rsidTr="003C2C7C">
            <w:tc>
              <w:tcPr>
                <w:tcW w:w="2351" w:type="dxa"/>
                <w:shd w:val="clear" w:color="auto" w:fill="auto"/>
                <w:tcMar>
                  <w:top w:w="100" w:type="dxa"/>
                  <w:left w:w="100" w:type="dxa"/>
                  <w:bottom w:w="100" w:type="dxa"/>
                  <w:right w:w="100" w:type="dxa"/>
                </w:tcMar>
              </w:tcPr>
              <w:p w14:paraId="19D45C35" w14:textId="77777777" w:rsidR="008B3252" w:rsidRDefault="008B3252" w:rsidP="003C2C7C">
                <w:pPr>
                  <w:widowControl w:val="0"/>
                  <w:pBdr>
                    <w:top w:val="nil"/>
                    <w:left w:val="nil"/>
                    <w:bottom w:val="nil"/>
                    <w:right w:val="nil"/>
                    <w:between w:val="nil"/>
                  </w:pBdr>
                  <w:spacing w:after="0"/>
                  <w:rPr>
                    <w:sz w:val="24"/>
                    <w:szCs w:val="24"/>
                  </w:rPr>
                </w:pPr>
                <w:r>
                  <w:rPr>
                    <w:sz w:val="24"/>
                    <w:szCs w:val="24"/>
                  </w:rPr>
                  <w:t>Policy Overview</w:t>
                </w:r>
              </w:p>
            </w:tc>
            <w:tc>
              <w:tcPr>
                <w:tcW w:w="2351" w:type="dxa"/>
                <w:shd w:val="clear" w:color="auto" w:fill="auto"/>
                <w:tcMar>
                  <w:top w:w="100" w:type="dxa"/>
                  <w:left w:w="100" w:type="dxa"/>
                  <w:bottom w:w="100" w:type="dxa"/>
                  <w:right w:w="100" w:type="dxa"/>
                </w:tcMar>
              </w:tcPr>
              <w:p w14:paraId="02E2281C" w14:textId="77777777" w:rsidR="008B3252" w:rsidRDefault="008B3252" w:rsidP="003C2C7C">
                <w:pPr>
                  <w:widowControl w:val="0"/>
                  <w:pBdr>
                    <w:top w:val="nil"/>
                    <w:left w:val="nil"/>
                    <w:bottom w:val="nil"/>
                    <w:right w:val="nil"/>
                    <w:between w:val="nil"/>
                  </w:pBdr>
                  <w:spacing w:after="0"/>
                  <w:rPr>
                    <w:sz w:val="24"/>
                    <w:szCs w:val="24"/>
                  </w:rPr>
                </w:pPr>
                <w:r>
                  <w:rPr>
                    <w:sz w:val="24"/>
                    <w:szCs w:val="24"/>
                  </w:rPr>
                  <w:t>Documentos técnicos</w:t>
                </w:r>
              </w:p>
            </w:tc>
            <w:tc>
              <w:tcPr>
                <w:tcW w:w="2351" w:type="dxa"/>
                <w:shd w:val="clear" w:color="auto" w:fill="auto"/>
                <w:tcMar>
                  <w:top w:w="100" w:type="dxa"/>
                  <w:left w:w="100" w:type="dxa"/>
                  <w:bottom w:w="100" w:type="dxa"/>
                  <w:right w:w="100" w:type="dxa"/>
                </w:tcMar>
              </w:tcPr>
              <w:p w14:paraId="39297F42" w14:textId="77777777" w:rsidR="008B3252" w:rsidRDefault="008B3252" w:rsidP="003C2C7C">
                <w:pPr>
                  <w:widowControl w:val="0"/>
                  <w:pBdr>
                    <w:top w:val="nil"/>
                    <w:left w:val="nil"/>
                    <w:bottom w:val="nil"/>
                    <w:right w:val="nil"/>
                    <w:between w:val="nil"/>
                  </w:pBdr>
                  <w:spacing w:after="0"/>
                  <w:rPr>
                    <w:sz w:val="24"/>
                    <w:szCs w:val="24"/>
                  </w:rPr>
                </w:pPr>
                <w:r>
                  <w:rPr>
                    <w:sz w:val="24"/>
                    <w:szCs w:val="24"/>
                  </w:rPr>
                  <w:t>Climate Action Tracker</w:t>
                </w:r>
              </w:p>
            </w:tc>
            <w:tc>
              <w:tcPr>
                <w:tcW w:w="2351" w:type="dxa"/>
                <w:shd w:val="clear" w:color="auto" w:fill="auto"/>
                <w:tcMar>
                  <w:top w:w="100" w:type="dxa"/>
                  <w:left w:w="100" w:type="dxa"/>
                  <w:bottom w:w="100" w:type="dxa"/>
                  <w:right w:w="100" w:type="dxa"/>
                </w:tcMar>
              </w:tcPr>
              <w:p w14:paraId="0803CC97" w14:textId="77777777" w:rsidR="008B3252" w:rsidRDefault="008B3252" w:rsidP="003C2C7C">
                <w:pPr>
                  <w:widowControl w:val="0"/>
                  <w:pBdr>
                    <w:top w:val="nil"/>
                    <w:left w:val="nil"/>
                    <w:bottom w:val="nil"/>
                    <w:right w:val="nil"/>
                    <w:between w:val="nil"/>
                  </w:pBdr>
                  <w:spacing w:after="0"/>
                  <w:rPr>
                    <w:sz w:val="24"/>
                    <w:szCs w:val="24"/>
                  </w:rPr>
                </w:pPr>
                <w:r>
                  <w:rPr>
                    <w:sz w:val="24"/>
                    <w:szCs w:val="24"/>
                  </w:rPr>
                  <w:t>Internacional</w:t>
                </w:r>
              </w:p>
            </w:tc>
          </w:tr>
          <w:tr w:rsidR="008B3252" w14:paraId="76325F3A" w14:textId="77777777" w:rsidTr="003C2C7C">
            <w:tc>
              <w:tcPr>
                <w:tcW w:w="2351" w:type="dxa"/>
                <w:shd w:val="clear" w:color="auto" w:fill="auto"/>
                <w:tcMar>
                  <w:top w:w="100" w:type="dxa"/>
                  <w:left w:w="100" w:type="dxa"/>
                  <w:bottom w:w="100" w:type="dxa"/>
                  <w:right w:w="100" w:type="dxa"/>
                </w:tcMar>
              </w:tcPr>
              <w:p w14:paraId="03F827CB" w14:textId="77777777" w:rsidR="008B3252" w:rsidRDefault="008B3252" w:rsidP="003C2C7C">
                <w:pPr>
                  <w:widowControl w:val="0"/>
                  <w:pBdr>
                    <w:top w:val="nil"/>
                    <w:left w:val="nil"/>
                    <w:bottom w:val="nil"/>
                    <w:right w:val="nil"/>
                    <w:between w:val="nil"/>
                  </w:pBdr>
                  <w:spacing w:after="0"/>
                  <w:rPr>
                    <w:sz w:val="24"/>
                    <w:szCs w:val="24"/>
                  </w:rPr>
                </w:pPr>
                <w:r>
                  <w:rPr>
                    <w:sz w:val="24"/>
                    <w:szCs w:val="24"/>
                  </w:rPr>
                  <w:t>Environment and Climate Change Canadá</w:t>
                </w:r>
              </w:p>
            </w:tc>
            <w:tc>
              <w:tcPr>
                <w:tcW w:w="2351" w:type="dxa"/>
                <w:shd w:val="clear" w:color="auto" w:fill="auto"/>
                <w:tcMar>
                  <w:top w:w="100" w:type="dxa"/>
                  <w:left w:w="100" w:type="dxa"/>
                  <w:bottom w:w="100" w:type="dxa"/>
                  <w:right w:w="100" w:type="dxa"/>
                </w:tcMar>
              </w:tcPr>
              <w:p w14:paraId="621B4D5E" w14:textId="77777777" w:rsidR="008B3252" w:rsidRDefault="008B3252" w:rsidP="003C2C7C">
                <w:pPr>
                  <w:widowControl w:val="0"/>
                  <w:pBdr>
                    <w:top w:val="nil"/>
                    <w:left w:val="nil"/>
                    <w:bottom w:val="nil"/>
                    <w:right w:val="nil"/>
                    <w:between w:val="nil"/>
                  </w:pBdr>
                  <w:spacing w:after="0"/>
                  <w:rPr>
                    <w:sz w:val="24"/>
                    <w:szCs w:val="24"/>
                  </w:rPr>
                </w:pPr>
                <w:r>
                  <w:rPr>
                    <w:sz w:val="24"/>
                    <w:szCs w:val="24"/>
                  </w:rPr>
                  <w:t>Documentos técnicos</w:t>
                </w:r>
              </w:p>
            </w:tc>
            <w:tc>
              <w:tcPr>
                <w:tcW w:w="2351" w:type="dxa"/>
                <w:shd w:val="clear" w:color="auto" w:fill="auto"/>
                <w:tcMar>
                  <w:top w:w="100" w:type="dxa"/>
                  <w:left w:w="100" w:type="dxa"/>
                  <w:bottom w:w="100" w:type="dxa"/>
                  <w:right w:w="100" w:type="dxa"/>
                </w:tcMar>
              </w:tcPr>
              <w:p w14:paraId="4C73F8F2" w14:textId="77777777" w:rsidR="008B3252" w:rsidRDefault="008B3252" w:rsidP="003C2C7C">
                <w:pPr>
                  <w:widowControl w:val="0"/>
                  <w:pBdr>
                    <w:top w:val="nil"/>
                    <w:left w:val="nil"/>
                    <w:bottom w:val="nil"/>
                    <w:right w:val="nil"/>
                    <w:between w:val="nil"/>
                  </w:pBdr>
                  <w:spacing w:after="0"/>
                  <w:rPr>
                    <w:sz w:val="24"/>
                    <w:szCs w:val="24"/>
                  </w:rPr>
                </w:pPr>
                <w:r>
                  <w:rPr>
                    <w:sz w:val="24"/>
                    <w:szCs w:val="24"/>
                  </w:rPr>
                  <w:t>Gobierno de Canadá</w:t>
                </w:r>
              </w:p>
            </w:tc>
            <w:tc>
              <w:tcPr>
                <w:tcW w:w="2351" w:type="dxa"/>
                <w:shd w:val="clear" w:color="auto" w:fill="auto"/>
                <w:tcMar>
                  <w:top w:w="100" w:type="dxa"/>
                  <w:left w:w="100" w:type="dxa"/>
                  <w:bottom w:w="100" w:type="dxa"/>
                  <w:right w:w="100" w:type="dxa"/>
                </w:tcMar>
              </w:tcPr>
              <w:p w14:paraId="1822480A" w14:textId="77777777" w:rsidR="008B3252" w:rsidRDefault="008B3252" w:rsidP="003C2C7C">
                <w:pPr>
                  <w:widowControl w:val="0"/>
                  <w:pBdr>
                    <w:top w:val="nil"/>
                    <w:left w:val="nil"/>
                    <w:bottom w:val="nil"/>
                    <w:right w:val="nil"/>
                    <w:between w:val="nil"/>
                  </w:pBdr>
                  <w:spacing w:after="0"/>
                  <w:rPr>
                    <w:sz w:val="24"/>
                    <w:szCs w:val="24"/>
                  </w:rPr>
                </w:pPr>
                <w:r>
                  <w:rPr>
                    <w:sz w:val="24"/>
                    <w:szCs w:val="24"/>
                  </w:rPr>
                  <w:t>Internacional</w:t>
                </w:r>
              </w:p>
            </w:tc>
          </w:tr>
          <w:tr w:rsidR="008B3252" w14:paraId="5F2F8DFB" w14:textId="77777777" w:rsidTr="003C2C7C">
            <w:tc>
              <w:tcPr>
                <w:tcW w:w="2351" w:type="dxa"/>
                <w:shd w:val="clear" w:color="auto" w:fill="auto"/>
                <w:tcMar>
                  <w:top w:w="100" w:type="dxa"/>
                  <w:left w:w="100" w:type="dxa"/>
                  <w:bottom w:w="100" w:type="dxa"/>
                  <w:right w:w="100" w:type="dxa"/>
                </w:tcMar>
              </w:tcPr>
              <w:p w14:paraId="057C2BBC" w14:textId="77777777" w:rsidR="008B3252" w:rsidRDefault="008B3252" w:rsidP="003C2C7C">
                <w:pPr>
                  <w:widowControl w:val="0"/>
                  <w:pBdr>
                    <w:top w:val="nil"/>
                    <w:left w:val="nil"/>
                    <w:bottom w:val="nil"/>
                    <w:right w:val="nil"/>
                    <w:between w:val="nil"/>
                  </w:pBdr>
                  <w:spacing w:after="0"/>
                  <w:rPr>
                    <w:sz w:val="24"/>
                    <w:szCs w:val="24"/>
                  </w:rPr>
                </w:pPr>
                <w:r>
                  <w:rPr>
                    <w:sz w:val="24"/>
                    <w:szCs w:val="24"/>
                  </w:rPr>
                  <w:t>Reduction Carbon Dioxide Emissions from Coal-fired Generation of Electricity Regulations</w:t>
                </w:r>
              </w:p>
            </w:tc>
            <w:tc>
              <w:tcPr>
                <w:tcW w:w="2351" w:type="dxa"/>
                <w:shd w:val="clear" w:color="auto" w:fill="auto"/>
                <w:tcMar>
                  <w:top w:w="100" w:type="dxa"/>
                  <w:left w:w="100" w:type="dxa"/>
                  <w:bottom w:w="100" w:type="dxa"/>
                  <w:right w:w="100" w:type="dxa"/>
                </w:tcMar>
              </w:tcPr>
              <w:p w14:paraId="07A681EC" w14:textId="77777777" w:rsidR="008B3252" w:rsidRDefault="008B3252" w:rsidP="003C2C7C">
                <w:pPr>
                  <w:widowControl w:val="0"/>
                  <w:pBdr>
                    <w:top w:val="nil"/>
                    <w:left w:val="nil"/>
                    <w:bottom w:val="nil"/>
                    <w:right w:val="nil"/>
                    <w:between w:val="nil"/>
                  </w:pBdr>
                  <w:spacing w:after="0"/>
                  <w:rPr>
                    <w:sz w:val="24"/>
                    <w:szCs w:val="24"/>
                  </w:rPr>
                </w:pPr>
                <w:r>
                  <w:rPr>
                    <w:sz w:val="24"/>
                    <w:szCs w:val="24"/>
                  </w:rPr>
                  <w:t>Documentos técnicos</w:t>
                </w:r>
              </w:p>
            </w:tc>
            <w:tc>
              <w:tcPr>
                <w:tcW w:w="2351" w:type="dxa"/>
                <w:shd w:val="clear" w:color="auto" w:fill="auto"/>
                <w:tcMar>
                  <w:top w:w="100" w:type="dxa"/>
                  <w:left w:w="100" w:type="dxa"/>
                  <w:bottom w:w="100" w:type="dxa"/>
                  <w:right w:w="100" w:type="dxa"/>
                </w:tcMar>
              </w:tcPr>
              <w:p w14:paraId="19D2FE2C" w14:textId="77777777" w:rsidR="008B3252" w:rsidRDefault="008B3252" w:rsidP="003C2C7C">
                <w:pPr>
                  <w:widowControl w:val="0"/>
                  <w:pBdr>
                    <w:top w:val="nil"/>
                    <w:left w:val="nil"/>
                    <w:bottom w:val="nil"/>
                    <w:right w:val="nil"/>
                    <w:between w:val="nil"/>
                  </w:pBdr>
                  <w:spacing w:after="0"/>
                  <w:rPr>
                    <w:sz w:val="24"/>
                    <w:szCs w:val="24"/>
                  </w:rPr>
                </w:pPr>
                <w:r>
                  <w:rPr>
                    <w:sz w:val="24"/>
                    <w:szCs w:val="24"/>
                  </w:rPr>
                  <w:t>Gobierno de Canadá</w:t>
                </w:r>
              </w:p>
            </w:tc>
            <w:tc>
              <w:tcPr>
                <w:tcW w:w="2351" w:type="dxa"/>
                <w:shd w:val="clear" w:color="auto" w:fill="auto"/>
                <w:tcMar>
                  <w:top w:w="100" w:type="dxa"/>
                  <w:left w:w="100" w:type="dxa"/>
                  <w:bottom w:w="100" w:type="dxa"/>
                  <w:right w:w="100" w:type="dxa"/>
                </w:tcMar>
              </w:tcPr>
              <w:p w14:paraId="4E6DA3BE" w14:textId="77777777" w:rsidR="008B3252" w:rsidRDefault="008B3252" w:rsidP="003C2C7C">
                <w:pPr>
                  <w:widowControl w:val="0"/>
                  <w:pBdr>
                    <w:top w:val="nil"/>
                    <w:left w:val="nil"/>
                    <w:bottom w:val="nil"/>
                    <w:right w:val="nil"/>
                    <w:between w:val="nil"/>
                  </w:pBdr>
                  <w:spacing w:after="0"/>
                  <w:rPr>
                    <w:sz w:val="24"/>
                    <w:szCs w:val="24"/>
                  </w:rPr>
                </w:pPr>
                <w:r>
                  <w:rPr>
                    <w:sz w:val="24"/>
                    <w:szCs w:val="24"/>
                  </w:rPr>
                  <w:t>Internacional</w:t>
                </w:r>
              </w:p>
            </w:tc>
          </w:tr>
          <w:tr w:rsidR="008B3252" w14:paraId="44CB4275" w14:textId="77777777" w:rsidTr="003C2C7C">
            <w:tc>
              <w:tcPr>
                <w:tcW w:w="2351" w:type="dxa"/>
                <w:shd w:val="clear" w:color="auto" w:fill="auto"/>
                <w:tcMar>
                  <w:top w:w="100" w:type="dxa"/>
                  <w:left w:w="100" w:type="dxa"/>
                  <w:bottom w:w="100" w:type="dxa"/>
                  <w:right w:w="100" w:type="dxa"/>
                </w:tcMar>
              </w:tcPr>
              <w:p w14:paraId="3E66CDD8" w14:textId="77777777" w:rsidR="008B3252" w:rsidRDefault="008B3252" w:rsidP="003C2C7C">
                <w:pPr>
                  <w:widowControl w:val="0"/>
                  <w:pBdr>
                    <w:top w:val="nil"/>
                    <w:left w:val="nil"/>
                    <w:bottom w:val="nil"/>
                    <w:right w:val="nil"/>
                    <w:between w:val="nil"/>
                  </w:pBdr>
                  <w:spacing w:after="0"/>
                  <w:rPr>
                    <w:sz w:val="24"/>
                    <w:szCs w:val="24"/>
                  </w:rPr>
                </w:pPr>
                <w:r>
                  <w:rPr>
                    <w:sz w:val="24"/>
                    <w:szCs w:val="24"/>
                  </w:rPr>
                  <w:lastRenderedPageBreak/>
                  <w:t xml:space="preserve">Canada’s new Climate Competitiveness Strategy </w:t>
                </w:r>
              </w:p>
            </w:tc>
            <w:tc>
              <w:tcPr>
                <w:tcW w:w="2351" w:type="dxa"/>
                <w:shd w:val="clear" w:color="auto" w:fill="auto"/>
                <w:tcMar>
                  <w:top w:w="100" w:type="dxa"/>
                  <w:left w:w="100" w:type="dxa"/>
                  <w:bottom w:w="100" w:type="dxa"/>
                  <w:right w:w="100" w:type="dxa"/>
                </w:tcMar>
              </w:tcPr>
              <w:p w14:paraId="08F3B462" w14:textId="77777777" w:rsidR="008B3252" w:rsidRDefault="008B3252" w:rsidP="003C2C7C">
                <w:pPr>
                  <w:widowControl w:val="0"/>
                  <w:pBdr>
                    <w:top w:val="nil"/>
                    <w:left w:val="nil"/>
                    <w:bottom w:val="nil"/>
                    <w:right w:val="nil"/>
                    <w:between w:val="nil"/>
                  </w:pBdr>
                  <w:spacing w:after="0"/>
                  <w:rPr>
                    <w:sz w:val="24"/>
                    <w:szCs w:val="24"/>
                  </w:rPr>
                </w:pPr>
                <w:r>
                  <w:rPr>
                    <w:sz w:val="24"/>
                    <w:szCs w:val="24"/>
                  </w:rPr>
                  <w:t>Documentos técnicos</w:t>
                </w:r>
              </w:p>
            </w:tc>
            <w:tc>
              <w:tcPr>
                <w:tcW w:w="2351" w:type="dxa"/>
                <w:shd w:val="clear" w:color="auto" w:fill="auto"/>
                <w:tcMar>
                  <w:top w:w="100" w:type="dxa"/>
                  <w:left w:w="100" w:type="dxa"/>
                  <w:bottom w:w="100" w:type="dxa"/>
                  <w:right w:w="100" w:type="dxa"/>
                </w:tcMar>
              </w:tcPr>
              <w:p w14:paraId="085BD013" w14:textId="77777777" w:rsidR="008B3252" w:rsidRDefault="008B3252" w:rsidP="003C2C7C">
                <w:pPr>
                  <w:widowControl w:val="0"/>
                  <w:pBdr>
                    <w:top w:val="nil"/>
                    <w:left w:val="nil"/>
                    <w:bottom w:val="nil"/>
                    <w:right w:val="nil"/>
                    <w:between w:val="nil"/>
                  </w:pBdr>
                  <w:spacing w:after="0"/>
                  <w:rPr>
                    <w:sz w:val="24"/>
                    <w:szCs w:val="24"/>
                  </w:rPr>
                </w:pPr>
                <w:r>
                  <w:rPr>
                    <w:sz w:val="24"/>
                    <w:szCs w:val="24"/>
                  </w:rPr>
                  <w:t>Gobierno de Canadá</w:t>
                </w:r>
              </w:p>
            </w:tc>
            <w:tc>
              <w:tcPr>
                <w:tcW w:w="2351" w:type="dxa"/>
                <w:shd w:val="clear" w:color="auto" w:fill="auto"/>
                <w:tcMar>
                  <w:top w:w="100" w:type="dxa"/>
                  <w:left w:w="100" w:type="dxa"/>
                  <w:bottom w:w="100" w:type="dxa"/>
                  <w:right w:w="100" w:type="dxa"/>
                </w:tcMar>
              </w:tcPr>
              <w:p w14:paraId="454A0C6B" w14:textId="77777777" w:rsidR="008B3252" w:rsidRDefault="008B3252" w:rsidP="003C2C7C">
                <w:pPr>
                  <w:widowControl w:val="0"/>
                  <w:pBdr>
                    <w:top w:val="nil"/>
                    <w:left w:val="nil"/>
                    <w:bottom w:val="nil"/>
                    <w:right w:val="nil"/>
                    <w:between w:val="nil"/>
                  </w:pBdr>
                  <w:spacing w:after="0"/>
                  <w:rPr>
                    <w:sz w:val="24"/>
                    <w:szCs w:val="24"/>
                  </w:rPr>
                </w:pPr>
                <w:r>
                  <w:rPr>
                    <w:sz w:val="24"/>
                    <w:szCs w:val="24"/>
                  </w:rPr>
                  <w:t>Internacional</w:t>
                </w:r>
              </w:p>
            </w:tc>
          </w:tr>
          <w:tr w:rsidR="008B3252" w14:paraId="493FBCD2" w14:textId="77777777" w:rsidTr="003C2C7C">
            <w:tc>
              <w:tcPr>
                <w:tcW w:w="2351" w:type="dxa"/>
                <w:shd w:val="clear" w:color="auto" w:fill="auto"/>
                <w:tcMar>
                  <w:top w:w="100" w:type="dxa"/>
                  <w:left w:w="100" w:type="dxa"/>
                  <w:bottom w:w="100" w:type="dxa"/>
                  <w:right w:w="100" w:type="dxa"/>
                </w:tcMar>
              </w:tcPr>
              <w:p w14:paraId="44C15753" w14:textId="77777777" w:rsidR="008B3252" w:rsidRDefault="008B3252" w:rsidP="003C2C7C">
                <w:pPr>
                  <w:widowControl w:val="0"/>
                  <w:pBdr>
                    <w:top w:val="nil"/>
                    <w:left w:val="nil"/>
                    <w:bottom w:val="nil"/>
                    <w:right w:val="nil"/>
                    <w:between w:val="nil"/>
                  </w:pBdr>
                  <w:spacing w:after="0"/>
                  <w:rPr>
                    <w:sz w:val="24"/>
                    <w:szCs w:val="24"/>
                  </w:rPr>
                </w:pPr>
                <w:r>
                  <w:rPr>
                    <w:sz w:val="24"/>
                    <w:szCs w:val="24"/>
                  </w:rPr>
                  <w:t>Canada-Alberta Memorandum of Understanding</w:t>
                </w:r>
              </w:p>
            </w:tc>
            <w:tc>
              <w:tcPr>
                <w:tcW w:w="2351" w:type="dxa"/>
                <w:shd w:val="clear" w:color="auto" w:fill="auto"/>
                <w:tcMar>
                  <w:top w:w="100" w:type="dxa"/>
                  <w:left w:w="100" w:type="dxa"/>
                  <w:bottom w:w="100" w:type="dxa"/>
                  <w:right w:w="100" w:type="dxa"/>
                </w:tcMar>
              </w:tcPr>
              <w:p w14:paraId="483FD64E" w14:textId="77777777" w:rsidR="008B3252" w:rsidRDefault="008B3252" w:rsidP="003C2C7C">
                <w:pPr>
                  <w:widowControl w:val="0"/>
                  <w:pBdr>
                    <w:top w:val="nil"/>
                    <w:left w:val="nil"/>
                    <w:bottom w:val="nil"/>
                    <w:right w:val="nil"/>
                    <w:between w:val="nil"/>
                  </w:pBdr>
                  <w:spacing w:after="0"/>
                  <w:rPr>
                    <w:sz w:val="24"/>
                    <w:szCs w:val="24"/>
                  </w:rPr>
                </w:pPr>
                <w:r>
                  <w:rPr>
                    <w:sz w:val="24"/>
                    <w:szCs w:val="24"/>
                  </w:rPr>
                  <w:t>Documentos técnicos</w:t>
                </w:r>
              </w:p>
            </w:tc>
            <w:tc>
              <w:tcPr>
                <w:tcW w:w="2351" w:type="dxa"/>
                <w:shd w:val="clear" w:color="auto" w:fill="auto"/>
                <w:tcMar>
                  <w:top w:w="100" w:type="dxa"/>
                  <w:left w:w="100" w:type="dxa"/>
                  <w:bottom w:w="100" w:type="dxa"/>
                  <w:right w:w="100" w:type="dxa"/>
                </w:tcMar>
              </w:tcPr>
              <w:p w14:paraId="540D4F4B" w14:textId="77777777" w:rsidR="008B3252" w:rsidRDefault="008B3252" w:rsidP="003C2C7C">
                <w:pPr>
                  <w:widowControl w:val="0"/>
                  <w:pBdr>
                    <w:top w:val="nil"/>
                    <w:left w:val="nil"/>
                    <w:bottom w:val="nil"/>
                    <w:right w:val="nil"/>
                    <w:between w:val="nil"/>
                  </w:pBdr>
                  <w:spacing w:after="0"/>
                  <w:rPr>
                    <w:sz w:val="24"/>
                    <w:szCs w:val="24"/>
                  </w:rPr>
                </w:pPr>
                <w:r>
                  <w:rPr>
                    <w:sz w:val="24"/>
                    <w:szCs w:val="24"/>
                  </w:rPr>
                  <w:t>Gobierno de Canadá</w:t>
                </w:r>
              </w:p>
            </w:tc>
            <w:tc>
              <w:tcPr>
                <w:tcW w:w="2351" w:type="dxa"/>
                <w:shd w:val="clear" w:color="auto" w:fill="auto"/>
                <w:tcMar>
                  <w:top w:w="100" w:type="dxa"/>
                  <w:left w:w="100" w:type="dxa"/>
                  <w:bottom w:w="100" w:type="dxa"/>
                  <w:right w:w="100" w:type="dxa"/>
                </w:tcMar>
              </w:tcPr>
              <w:p w14:paraId="1DA7CBBC" w14:textId="77777777" w:rsidR="008B3252" w:rsidRDefault="008B3252" w:rsidP="003C2C7C">
                <w:pPr>
                  <w:widowControl w:val="0"/>
                  <w:pBdr>
                    <w:top w:val="nil"/>
                    <w:left w:val="nil"/>
                    <w:bottom w:val="nil"/>
                    <w:right w:val="nil"/>
                    <w:between w:val="nil"/>
                  </w:pBdr>
                  <w:spacing w:after="0"/>
                  <w:rPr>
                    <w:sz w:val="24"/>
                    <w:szCs w:val="24"/>
                  </w:rPr>
                </w:pPr>
                <w:r>
                  <w:rPr>
                    <w:sz w:val="24"/>
                    <w:szCs w:val="24"/>
                  </w:rPr>
                  <w:t>Internacional</w:t>
                </w:r>
              </w:p>
            </w:tc>
          </w:tr>
          <w:tr w:rsidR="008B3252" w14:paraId="7E9E27CA" w14:textId="77777777" w:rsidTr="003C2C7C">
            <w:tc>
              <w:tcPr>
                <w:tcW w:w="2351" w:type="dxa"/>
                <w:shd w:val="clear" w:color="auto" w:fill="auto"/>
                <w:tcMar>
                  <w:top w:w="100" w:type="dxa"/>
                  <w:left w:w="100" w:type="dxa"/>
                  <w:bottom w:w="100" w:type="dxa"/>
                  <w:right w:w="100" w:type="dxa"/>
                </w:tcMar>
              </w:tcPr>
              <w:p w14:paraId="2D3B8FBE" w14:textId="77777777" w:rsidR="008B3252" w:rsidRDefault="008B3252" w:rsidP="003C2C7C">
                <w:pPr>
                  <w:widowControl w:val="0"/>
                  <w:pBdr>
                    <w:top w:val="nil"/>
                    <w:left w:val="nil"/>
                    <w:bottom w:val="nil"/>
                    <w:right w:val="nil"/>
                    <w:between w:val="nil"/>
                  </w:pBdr>
                  <w:spacing w:after="0"/>
                  <w:rPr>
                    <w:sz w:val="24"/>
                    <w:szCs w:val="24"/>
                  </w:rPr>
                </w:pPr>
                <w:r>
                  <w:rPr>
                    <w:sz w:val="24"/>
                    <w:szCs w:val="24"/>
                  </w:rPr>
                  <w:t>The German Coal Comission</w:t>
                </w:r>
              </w:p>
            </w:tc>
            <w:tc>
              <w:tcPr>
                <w:tcW w:w="2351" w:type="dxa"/>
                <w:shd w:val="clear" w:color="auto" w:fill="auto"/>
                <w:tcMar>
                  <w:top w:w="100" w:type="dxa"/>
                  <w:left w:w="100" w:type="dxa"/>
                  <w:bottom w:w="100" w:type="dxa"/>
                  <w:right w:w="100" w:type="dxa"/>
                </w:tcMar>
              </w:tcPr>
              <w:p w14:paraId="6106427D" w14:textId="77777777" w:rsidR="008B3252" w:rsidRDefault="008B3252" w:rsidP="003C2C7C">
                <w:pPr>
                  <w:widowControl w:val="0"/>
                  <w:pBdr>
                    <w:top w:val="nil"/>
                    <w:left w:val="nil"/>
                    <w:bottom w:val="nil"/>
                    <w:right w:val="nil"/>
                    <w:between w:val="nil"/>
                  </w:pBdr>
                  <w:spacing w:after="0"/>
                  <w:rPr>
                    <w:sz w:val="24"/>
                    <w:szCs w:val="24"/>
                  </w:rPr>
                </w:pPr>
                <w:r>
                  <w:rPr>
                    <w:sz w:val="24"/>
                    <w:szCs w:val="24"/>
                  </w:rPr>
                  <w:t>Documentos técnicos</w:t>
                </w:r>
              </w:p>
            </w:tc>
            <w:tc>
              <w:tcPr>
                <w:tcW w:w="2351" w:type="dxa"/>
                <w:shd w:val="clear" w:color="auto" w:fill="auto"/>
                <w:tcMar>
                  <w:top w:w="100" w:type="dxa"/>
                  <w:left w:w="100" w:type="dxa"/>
                  <w:bottom w:w="100" w:type="dxa"/>
                  <w:right w:w="100" w:type="dxa"/>
                </w:tcMar>
              </w:tcPr>
              <w:p w14:paraId="4831A6C7" w14:textId="77777777" w:rsidR="008B3252" w:rsidRDefault="008B3252" w:rsidP="003C2C7C">
                <w:pPr>
                  <w:widowControl w:val="0"/>
                  <w:pBdr>
                    <w:top w:val="nil"/>
                    <w:left w:val="nil"/>
                    <w:bottom w:val="nil"/>
                    <w:right w:val="nil"/>
                    <w:between w:val="nil"/>
                  </w:pBdr>
                  <w:spacing w:after="0"/>
                  <w:rPr>
                    <w:sz w:val="24"/>
                    <w:szCs w:val="24"/>
                  </w:rPr>
                </w:pPr>
                <w:r>
                  <w:rPr>
                    <w:sz w:val="24"/>
                    <w:szCs w:val="24"/>
                  </w:rPr>
                  <w:t>Coal Transitions</w:t>
                </w:r>
              </w:p>
            </w:tc>
            <w:tc>
              <w:tcPr>
                <w:tcW w:w="2351" w:type="dxa"/>
                <w:shd w:val="clear" w:color="auto" w:fill="auto"/>
                <w:tcMar>
                  <w:top w:w="100" w:type="dxa"/>
                  <w:left w:w="100" w:type="dxa"/>
                  <w:bottom w:w="100" w:type="dxa"/>
                  <w:right w:w="100" w:type="dxa"/>
                </w:tcMar>
              </w:tcPr>
              <w:p w14:paraId="33D7F351" w14:textId="77777777" w:rsidR="008B3252" w:rsidRDefault="008B3252" w:rsidP="003C2C7C">
                <w:pPr>
                  <w:widowControl w:val="0"/>
                  <w:pBdr>
                    <w:top w:val="nil"/>
                    <w:left w:val="nil"/>
                    <w:bottom w:val="nil"/>
                    <w:right w:val="nil"/>
                    <w:between w:val="nil"/>
                  </w:pBdr>
                  <w:spacing w:after="0"/>
                  <w:rPr>
                    <w:sz w:val="24"/>
                    <w:szCs w:val="24"/>
                  </w:rPr>
                </w:pPr>
                <w:r>
                  <w:rPr>
                    <w:sz w:val="24"/>
                    <w:szCs w:val="24"/>
                  </w:rPr>
                  <w:t>Internacional</w:t>
                </w:r>
              </w:p>
            </w:tc>
          </w:tr>
          <w:tr w:rsidR="008B3252" w14:paraId="090867EB" w14:textId="77777777" w:rsidTr="003C2C7C">
            <w:tc>
              <w:tcPr>
                <w:tcW w:w="2351" w:type="dxa"/>
                <w:shd w:val="clear" w:color="auto" w:fill="auto"/>
                <w:tcMar>
                  <w:top w:w="100" w:type="dxa"/>
                  <w:left w:w="100" w:type="dxa"/>
                  <w:bottom w:w="100" w:type="dxa"/>
                  <w:right w:w="100" w:type="dxa"/>
                </w:tcMar>
              </w:tcPr>
              <w:p w14:paraId="14696786" w14:textId="77777777" w:rsidR="008B3252" w:rsidRDefault="008B3252" w:rsidP="003C2C7C">
                <w:pPr>
                  <w:widowControl w:val="0"/>
                  <w:pBdr>
                    <w:top w:val="nil"/>
                    <w:left w:val="nil"/>
                    <w:bottom w:val="nil"/>
                    <w:right w:val="nil"/>
                    <w:between w:val="nil"/>
                  </w:pBdr>
                  <w:spacing w:after="0"/>
                  <w:rPr>
                    <w:sz w:val="24"/>
                    <w:szCs w:val="24"/>
                  </w:rPr>
                </w:pPr>
                <w:r>
                  <w:rPr>
                    <w:sz w:val="24"/>
                    <w:szCs w:val="24"/>
                  </w:rPr>
                  <w:t>Comission on Growth, Structural Change and Employment</w:t>
                </w:r>
              </w:p>
            </w:tc>
            <w:tc>
              <w:tcPr>
                <w:tcW w:w="2351" w:type="dxa"/>
                <w:shd w:val="clear" w:color="auto" w:fill="auto"/>
                <w:tcMar>
                  <w:top w:w="100" w:type="dxa"/>
                  <w:left w:w="100" w:type="dxa"/>
                  <w:bottom w:w="100" w:type="dxa"/>
                  <w:right w:w="100" w:type="dxa"/>
                </w:tcMar>
              </w:tcPr>
              <w:p w14:paraId="2AB52BF7" w14:textId="77777777" w:rsidR="008B3252" w:rsidRDefault="008B3252" w:rsidP="003C2C7C">
                <w:pPr>
                  <w:widowControl w:val="0"/>
                  <w:pBdr>
                    <w:top w:val="nil"/>
                    <w:left w:val="nil"/>
                    <w:bottom w:val="nil"/>
                    <w:right w:val="nil"/>
                    <w:between w:val="nil"/>
                  </w:pBdr>
                  <w:spacing w:after="0"/>
                  <w:rPr>
                    <w:sz w:val="24"/>
                    <w:szCs w:val="24"/>
                  </w:rPr>
                </w:pPr>
                <w:r>
                  <w:rPr>
                    <w:sz w:val="24"/>
                    <w:szCs w:val="24"/>
                  </w:rPr>
                  <w:t>Documentos técnicos</w:t>
                </w:r>
              </w:p>
            </w:tc>
            <w:tc>
              <w:tcPr>
                <w:tcW w:w="2351" w:type="dxa"/>
                <w:shd w:val="clear" w:color="auto" w:fill="auto"/>
                <w:tcMar>
                  <w:top w:w="100" w:type="dxa"/>
                  <w:left w:w="100" w:type="dxa"/>
                  <w:bottom w:w="100" w:type="dxa"/>
                  <w:right w:w="100" w:type="dxa"/>
                </w:tcMar>
              </w:tcPr>
              <w:p w14:paraId="0364639F" w14:textId="77777777" w:rsidR="008B3252" w:rsidRDefault="008B3252" w:rsidP="003C2C7C">
                <w:pPr>
                  <w:widowControl w:val="0"/>
                  <w:pBdr>
                    <w:top w:val="nil"/>
                    <w:left w:val="nil"/>
                    <w:bottom w:val="nil"/>
                    <w:right w:val="nil"/>
                    <w:between w:val="nil"/>
                  </w:pBdr>
                  <w:spacing w:after="0"/>
                  <w:rPr>
                    <w:sz w:val="24"/>
                    <w:szCs w:val="24"/>
                  </w:rPr>
                </w:pPr>
                <w:r>
                  <w:rPr>
                    <w:sz w:val="24"/>
                    <w:szCs w:val="24"/>
                  </w:rPr>
                  <w:t xml:space="preserve">Gobierno de Alemania (Federal Ministry for Economic Affairs and Energy) </w:t>
                </w:r>
              </w:p>
            </w:tc>
            <w:tc>
              <w:tcPr>
                <w:tcW w:w="2351" w:type="dxa"/>
                <w:shd w:val="clear" w:color="auto" w:fill="auto"/>
                <w:tcMar>
                  <w:top w:w="100" w:type="dxa"/>
                  <w:left w:w="100" w:type="dxa"/>
                  <w:bottom w:w="100" w:type="dxa"/>
                  <w:right w:w="100" w:type="dxa"/>
                </w:tcMar>
              </w:tcPr>
              <w:p w14:paraId="3D4E89C7" w14:textId="77777777" w:rsidR="008B3252" w:rsidRDefault="008B3252" w:rsidP="003C2C7C">
                <w:pPr>
                  <w:widowControl w:val="0"/>
                  <w:pBdr>
                    <w:top w:val="nil"/>
                    <w:left w:val="nil"/>
                    <w:bottom w:val="nil"/>
                    <w:right w:val="nil"/>
                    <w:between w:val="nil"/>
                  </w:pBdr>
                  <w:spacing w:after="0"/>
                  <w:rPr>
                    <w:sz w:val="24"/>
                    <w:szCs w:val="24"/>
                  </w:rPr>
                </w:pPr>
                <w:r>
                  <w:rPr>
                    <w:sz w:val="24"/>
                    <w:szCs w:val="24"/>
                  </w:rPr>
                  <w:t>Internacional</w:t>
                </w:r>
              </w:p>
            </w:tc>
          </w:tr>
          <w:tr w:rsidR="008B3252" w14:paraId="2B3B83FE" w14:textId="77777777" w:rsidTr="008757C2">
            <w:tc>
              <w:tcPr>
                <w:tcW w:w="2351" w:type="dxa"/>
                <w:shd w:val="clear" w:color="auto" w:fill="auto"/>
                <w:tcMar>
                  <w:top w:w="100" w:type="dxa"/>
                  <w:left w:w="100" w:type="dxa"/>
                  <w:bottom w:w="100" w:type="dxa"/>
                  <w:right w:w="100" w:type="dxa"/>
                </w:tcMar>
              </w:tcPr>
              <w:p w14:paraId="228766EF" w14:textId="77777777" w:rsidR="008B3252" w:rsidRDefault="008B3252" w:rsidP="003C2C7C">
                <w:pPr>
                  <w:widowControl w:val="0"/>
                  <w:pBdr>
                    <w:top w:val="nil"/>
                    <w:left w:val="nil"/>
                    <w:bottom w:val="nil"/>
                    <w:right w:val="nil"/>
                    <w:between w:val="nil"/>
                  </w:pBdr>
                  <w:spacing w:after="0"/>
                  <w:rPr>
                    <w:sz w:val="24"/>
                    <w:szCs w:val="24"/>
                  </w:rPr>
                </w:pPr>
                <w:r>
                  <w:rPr>
                    <w:sz w:val="24"/>
                    <w:szCs w:val="24"/>
                  </w:rPr>
                  <w:t>The German Coal Comission: A roadmap for just transition from coal to renewables</w:t>
                </w:r>
              </w:p>
            </w:tc>
            <w:tc>
              <w:tcPr>
                <w:tcW w:w="2351" w:type="dxa"/>
                <w:shd w:val="clear" w:color="auto" w:fill="auto"/>
                <w:tcMar>
                  <w:top w:w="100" w:type="dxa"/>
                  <w:left w:w="100" w:type="dxa"/>
                  <w:bottom w:w="100" w:type="dxa"/>
                  <w:right w:w="100" w:type="dxa"/>
                </w:tcMar>
              </w:tcPr>
              <w:p w14:paraId="3F849A05" w14:textId="77777777" w:rsidR="008B3252" w:rsidRDefault="008B3252" w:rsidP="003C2C7C">
                <w:pPr>
                  <w:widowControl w:val="0"/>
                  <w:pBdr>
                    <w:top w:val="nil"/>
                    <w:left w:val="nil"/>
                    <w:bottom w:val="nil"/>
                    <w:right w:val="nil"/>
                    <w:between w:val="nil"/>
                  </w:pBdr>
                  <w:spacing w:after="0"/>
                  <w:rPr>
                    <w:sz w:val="24"/>
                    <w:szCs w:val="24"/>
                  </w:rPr>
                </w:pPr>
                <w:r>
                  <w:rPr>
                    <w:sz w:val="24"/>
                    <w:szCs w:val="24"/>
                  </w:rPr>
                  <w:t>Documentos técnicos</w:t>
                </w:r>
              </w:p>
            </w:tc>
            <w:tc>
              <w:tcPr>
                <w:tcW w:w="2351" w:type="dxa"/>
                <w:shd w:val="clear" w:color="auto" w:fill="auto"/>
                <w:tcMar>
                  <w:top w:w="100" w:type="dxa"/>
                  <w:left w:w="100" w:type="dxa"/>
                  <w:bottom w:w="100" w:type="dxa"/>
                  <w:right w:w="100" w:type="dxa"/>
                </w:tcMar>
              </w:tcPr>
              <w:p w14:paraId="5D157853" w14:textId="77777777" w:rsidR="008B3252" w:rsidRDefault="008B3252" w:rsidP="003C2C7C">
                <w:pPr>
                  <w:widowControl w:val="0"/>
                  <w:pBdr>
                    <w:top w:val="nil"/>
                    <w:left w:val="nil"/>
                    <w:bottom w:val="nil"/>
                    <w:right w:val="nil"/>
                    <w:between w:val="nil"/>
                  </w:pBdr>
                  <w:spacing w:after="0"/>
                  <w:rPr>
                    <w:sz w:val="24"/>
                    <w:szCs w:val="24"/>
                  </w:rPr>
                </w:pPr>
                <w:r>
                  <w:rPr>
                    <w:sz w:val="24"/>
                    <w:szCs w:val="24"/>
                  </w:rPr>
                  <w:t>Agora Energiewende</w:t>
                </w:r>
              </w:p>
            </w:tc>
            <w:tc>
              <w:tcPr>
                <w:tcW w:w="2351" w:type="dxa"/>
                <w:shd w:val="clear" w:color="auto" w:fill="auto"/>
                <w:tcMar>
                  <w:top w:w="100" w:type="dxa"/>
                  <w:left w:w="100" w:type="dxa"/>
                  <w:bottom w:w="100" w:type="dxa"/>
                  <w:right w:w="100" w:type="dxa"/>
                </w:tcMar>
              </w:tcPr>
              <w:p w14:paraId="1BB5DF12" w14:textId="77777777" w:rsidR="008B3252" w:rsidRDefault="008B3252" w:rsidP="003C2C7C">
                <w:pPr>
                  <w:widowControl w:val="0"/>
                  <w:pBdr>
                    <w:top w:val="nil"/>
                    <w:left w:val="nil"/>
                    <w:bottom w:val="nil"/>
                    <w:right w:val="nil"/>
                    <w:between w:val="nil"/>
                  </w:pBdr>
                  <w:spacing w:after="0"/>
                  <w:rPr>
                    <w:sz w:val="24"/>
                    <w:szCs w:val="24"/>
                  </w:rPr>
                </w:pPr>
                <w:r>
                  <w:rPr>
                    <w:sz w:val="24"/>
                    <w:szCs w:val="24"/>
                  </w:rPr>
                  <w:t xml:space="preserve">Internacional </w:t>
                </w:r>
              </w:p>
            </w:tc>
          </w:tr>
        </w:tbl>
      </w:sdtContent>
    </w:sdt>
    <w:p w14:paraId="25436192" w14:textId="77777777" w:rsidR="008757C2" w:rsidRPr="00985B97" w:rsidRDefault="008757C2" w:rsidP="00985B97">
      <w:pPr>
        <w:jc w:val="both"/>
        <w:rPr>
          <w:b/>
          <w:bCs/>
          <w:color w:val="BF9000"/>
        </w:rPr>
      </w:pPr>
    </w:p>
    <w:p w14:paraId="2502DDA8" w14:textId="77777777" w:rsidR="008B3252" w:rsidRPr="00985B97" w:rsidRDefault="008B3252" w:rsidP="00985B97">
      <w:pPr>
        <w:pStyle w:val="Ttulo2"/>
        <w:rPr>
          <w:sz w:val="22"/>
          <w:szCs w:val="22"/>
        </w:rPr>
      </w:pPr>
      <w:bookmarkStart w:id="97" w:name="_Toc235107973"/>
      <w:r w:rsidRPr="00985B97">
        <w:rPr>
          <w:sz w:val="22"/>
          <w:szCs w:val="22"/>
        </w:rPr>
        <w:t>Entrevistas representantes gubernamentales nacionales y extranjeros</w:t>
      </w:r>
      <w:bookmarkEnd w:id="97"/>
    </w:p>
    <w:p w14:paraId="79FE31AC" w14:textId="77777777" w:rsidR="008B3252" w:rsidRPr="00985B97" w:rsidRDefault="008B3252" w:rsidP="00985B97">
      <w:pPr>
        <w:jc w:val="both"/>
      </w:pPr>
      <w:r w:rsidRPr="00985B97">
        <w:t xml:space="preserve">Como parte del proceso de recolección de información sobre las perspectivas de servidores públicos nacionales e internacionales respecto al diseño e implementación de estrategias de fortalecimiento institucional y gobernanza —orientadas a estrechar la confianza ciudadana—, se realizaron ocho entrevistas semiestructuradas. El objetivo de estos instrumentos fue explorar los mecanismos de gobernanza que articulan de manera efectiva las demandas de las poblaciones mineras con los principios </w:t>
      </w:r>
      <w:r w:rsidRPr="00985B97">
        <w:lastRenderedPageBreak/>
        <w:t xml:space="preserve">de la Transición Energética Justa. Para ello, se analizó el caso colombiano en contraste con los países seleccionados para el </w:t>
      </w:r>
      <w:r w:rsidRPr="00985B97">
        <w:rPr>
          <w:i/>
          <w:iCs/>
        </w:rPr>
        <w:t>benchmarking</w:t>
      </w:r>
      <w:r w:rsidRPr="00985B97">
        <w:t>: Canadá, a través de sus procesos de Gobernanza Minera, y Alemania, mediante su estrategia de desincorporación del carbón (</w:t>
      </w:r>
      <w:r w:rsidRPr="00985B97">
        <w:rPr>
          <w:i/>
          <w:iCs/>
        </w:rPr>
        <w:t xml:space="preserve">Coal </w:t>
      </w:r>
      <w:proofErr w:type="spellStart"/>
      <w:r w:rsidRPr="00985B97">
        <w:rPr>
          <w:i/>
          <w:iCs/>
        </w:rPr>
        <w:t>Phase-Out</w:t>
      </w:r>
      <w:proofErr w:type="spellEnd"/>
      <w:r w:rsidRPr="00985B97">
        <w:t xml:space="preserve">). Igualmente, se realizó una aproximación hacia las recomendaciones y proyecciones que realizan los representantes seleccionados frente a la implementación de estas estrategias de fortalecimiento orientadas a un estrechamiento de las relaciones con las comunidades mineras. </w:t>
      </w:r>
    </w:p>
    <w:p w14:paraId="27C483CE" w14:textId="77777777" w:rsidR="008B3252" w:rsidRPr="00985B97" w:rsidRDefault="008B3252" w:rsidP="00985B97">
      <w:pPr>
        <w:spacing w:before="240" w:after="240"/>
        <w:jc w:val="both"/>
      </w:pPr>
      <w:r w:rsidRPr="00985B97">
        <w:t>La fase de aplicación del instrumento metodológico inició con una rigurosa caracterización y mapeo de actores institucionales, tanto del ámbito nacional como internacional. Este procedimiento permitió seleccionar estratégicamente a los perfiles idóneos en función de las competencias, roles y funciones que desempeñan dentro de sus respectivas entidades en áreas clave como la gobernanza minera, la gestión ambiental y el relacionamiento con comunidades.</w:t>
      </w:r>
    </w:p>
    <w:p w14:paraId="3901341A" w14:textId="77777777" w:rsidR="008B3252" w:rsidRPr="00985B97" w:rsidRDefault="008B3252" w:rsidP="00985B97">
      <w:pPr>
        <w:spacing w:before="240" w:after="240"/>
        <w:jc w:val="both"/>
      </w:pPr>
      <w:r w:rsidRPr="00985B97">
        <w:t>Para el escenario colombiano, la selección se concentró en la alta burocracia y cuerpos técnicos del Gobierno Nacional, logrando la participación de representantes clave del Ministerio de Minas y Energía, el Ministerio de Ambiente y Desarrollo Sostenible, el Ministerio de Hacienda y Crédito Público, el Ministerio del Interior y la Agencia Nacional de Minería (ANM). En este marco, se estructuraron y ejecutaron seis entrevistas en profundidad. Estos diálogos metodológicos estuvieron orientados a examinar de manera retrospectiva y crítica las acciones, reformas y estrategias implementadas en materia de articulación interinstitucional y gobernanza comunitaria-minera durante el periodo gubernamental 2022-2026.</w:t>
      </w:r>
    </w:p>
    <w:p w14:paraId="7E38A11C" w14:textId="77777777" w:rsidR="008B3252" w:rsidRPr="00985B97" w:rsidRDefault="008B3252" w:rsidP="00985B97">
      <w:pPr>
        <w:spacing w:before="240" w:after="240"/>
        <w:jc w:val="both"/>
      </w:pPr>
      <w:r w:rsidRPr="00985B97">
        <w:t>Por su parte, los acercamientos con los actores internacionales se concretaron en un espacio político de alto nivel: la Primera Conferencia Internacional “Más allá de los combustibles fósiles”, organizada de forma conjunta por los gobiernos de Colombia y los Países Bajos en la ciudad de Santa Marta, del 24 al 29 de abril de 2026. En este escenario, se establecieron canales de interlocución con parlamentarios y delegados oficiales de Alemania y Canadá que participaron como panelistas. Sus intervenciones aportaron elementos fundamentales al debate global sobre las transiciones energéticas, enfocándose en propuestas específicas de descarbonización, la reconfiguración de la gobernanza minera y el fortalecimiento del desempeño institucional como requisitos indispensables para lograr una gestión verdaderamente articulada entre los aparatos estatales y las comunidades mineras locales.</w:t>
      </w:r>
    </w:p>
    <w:p w14:paraId="5D899CF1" w14:textId="77777777" w:rsidR="008B3252" w:rsidRPr="00985B97" w:rsidRDefault="008B3252" w:rsidP="00985B97">
      <w:pPr>
        <w:spacing w:before="240" w:after="240"/>
        <w:jc w:val="both"/>
      </w:pPr>
      <w:r w:rsidRPr="00985B97">
        <w:lastRenderedPageBreak/>
        <w:t xml:space="preserve">Asimismo, se desarrollaron jornadas de entrevistas semiestructuradas con dichos representantes, con el propósito de sistematizar sus experiencias y recopilar recomendaciones estratégicas en torno a los modelos de gobernanza minera. Estos encuentros permitieron evaluar de manera holística el impacto de la gestión minera a través de múltiples dimensiones críticas: la ambiental, enfocada en la sostenibilidad y la preservación de los ecosistemas; la social y comunitaria, centrada en la garantía de derechos, la participación social, el tejido social y el desarrollo local; y la institucional, orientada al fortalecimiento de las capacidades del Estado, la transparencia y la resolución pacífica de conflictos sectoriales. </w:t>
      </w:r>
    </w:p>
    <w:p w14:paraId="0356A771" w14:textId="77777777" w:rsidR="008B3252" w:rsidRPr="00985B97" w:rsidRDefault="008B3252" w:rsidP="00A86834">
      <w:pPr>
        <w:pStyle w:val="Ttulo1"/>
      </w:pPr>
      <w:bookmarkStart w:id="98" w:name="_Toc235107974"/>
      <w:r w:rsidRPr="00985B97">
        <w:t>Análisis crítico del discurso</w:t>
      </w:r>
      <w:bookmarkEnd w:id="98"/>
      <w:r w:rsidRPr="00985B97">
        <w:t xml:space="preserve"> </w:t>
      </w:r>
    </w:p>
    <w:p w14:paraId="2E623E05" w14:textId="77777777" w:rsidR="008B3252" w:rsidRPr="00985B97" w:rsidRDefault="008B3252" w:rsidP="00985B97">
      <w:pPr>
        <w:spacing w:before="240" w:after="240"/>
        <w:jc w:val="both"/>
      </w:pPr>
      <w:r w:rsidRPr="00985B97">
        <w:t xml:space="preserve">Como se mencionó en el apartado metodológico del diseño investigativo correspondiente con este pivote y en el apartado anterior de organización y procesamiento de la información, se adopta el análisis crítico del discurso como herramienta para comprender el contexto discursivo de desarrollo de los participantes y las asignaciones de sentido y significado que se generan a través de las evaluaciones de los sujetos en la producción de sus propias prácticas (van Dijk, 2016). </w:t>
      </w:r>
    </w:p>
    <w:p w14:paraId="09F2007D" w14:textId="77777777" w:rsidR="008B3252" w:rsidRPr="00985B97" w:rsidRDefault="008B3252" w:rsidP="00985B97">
      <w:pPr>
        <w:spacing w:before="240" w:after="240"/>
        <w:jc w:val="both"/>
      </w:pPr>
      <w:r w:rsidRPr="00985B97">
        <w:t xml:space="preserve">En este sentido, se establecieron unas categorías o variables específicas para operacionalizar por medio de variables conceptuales las interpretaciones y recomendaciones que realizan los funcionarios institucionales, tanto nacionales, como internacionales, alrededor de la gobernanza minera y el relacionamiento entre instituciones y comunidades mineras. Todas estas variables fueron utilizadas como códigos para el procesamiento de las entrevistas en el software de análisis de datos cualitativos </w:t>
      </w:r>
      <w:proofErr w:type="spellStart"/>
      <w:r w:rsidRPr="00985B97">
        <w:t>Atlas.ti</w:t>
      </w:r>
      <w:proofErr w:type="spellEnd"/>
      <w:r w:rsidRPr="00985B97">
        <w:t xml:space="preserve">. </w:t>
      </w:r>
    </w:p>
    <w:p w14:paraId="24097781" w14:textId="77777777" w:rsidR="008B3252" w:rsidRPr="00985B97" w:rsidRDefault="008B3252" w:rsidP="00985B97">
      <w:pPr>
        <w:spacing w:before="240" w:after="240"/>
        <w:jc w:val="both"/>
      </w:pPr>
      <w:r w:rsidRPr="00985B97">
        <w:rPr>
          <w:b/>
          <w:bCs/>
        </w:rPr>
        <w:t>Tabla. Categorías y variables para el análisis crítico del discurso de las entrevistas</w:t>
      </w:r>
    </w:p>
    <w:sdt>
      <w:sdtPr>
        <w:tag w:val="goog_rdk_3"/>
        <w:id w:val="-1640865963"/>
        <w:lock w:val="contentLocked"/>
      </w:sdtPr>
      <w:sdtEndPr/>
      <w:sdtContent>
        <w:tbl>
          <w:tblPr>
            <w:tblW w:w="94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34"/>
            <w:gridCol w:w="3135"/>
            <w:gridCol w:w="3135"/>
          </w:tblGrid>
          <w:tr w:rsidR="008B3252" w14:paraId="67C5EA74" w14:textId="77777777" w:rsidTr="003C2C7C">
            <w:tc>
              <w:tcPr>
                <w:tcW w:w="3134" w:type="dxa"/>
                <w:shd w:val="clear" w:color="auto" w:fill="auto"/>
                <w:tcMar>
                  <w:top w:w="100" w:type="dxa"/>
                  <w:left w:w="100" w:type="dxa"/>
                  <w:bottom w:w="100" w:type="dxa"/>
                  <w:right w:w="100" w:type="dxa"/>
                </w:tcMar>
              </w:tcPr>
              <w:p w14:paraId="1A3A5D44" w14:textId="77777777" w:rsidR="008B3252" w:rsidRDefault="008B3252" w:rsidP="003C2C7C">
                <w:pPr>
                  <w:widowControl w:val="0"/>
                  <w:pBdr>
                    <w:top w:val="nil"/>
                    <w:left w:val="nil"/>
                    <w:bottom w:val="nil"/>
                    <w:right w:val="nil"/>
                    <w:between w:val="nil"/>
                  </w:pBdr>
                  <w:spacing w:after="0"/>
                  <w:rPr>
                    <w:sz w:val="24"/>
                    <w:szCs w:val="24"/>
                  </w:rPr>
                </w:pPr>
                <w:r>
                  <w:rPr>
                    <w:sz w:val="24"/>
                    <w:szCs w:val="24"/>
                  </w:rPr>
                  <w:t xml:space="preserve">Categoría/Variable </w:t>
                </w:r>
              </w:p>
            </w:tc>
            <w:tc>
              <w:tcPr>
                <w:tcW w:w="3134" w:type="dxa"/>
                <w:shd w:val="clear" w:color="auto" w:fill="auto"/>
                <w:tcMar>
                  <w:top w:w="100" w:type="dxa"/>
                  <w:left w:w="100" w:type="dxa"/>
                  <w:bottom w:w="100" w:type="dxa"/>
                  <w:right w:w="100" w:type="dxa"/>
                </w:tcMar>
              </w:tcPr>
              <w:p w14:paraId="4C18C588" w14:textId="77777777" w:rsidR="008B3252" w:rsidRDefault="008B3252" w:rsidP="003C2C7C">
                <w:pPr>
                  <w:widowControl w:val="0"/>
                  <w:pBdr>
                    <w:top w:val="nil"/>
                    <w:left w:val="nil"/>
                    <w:bottom w:val="nil"/>
                    <w:right w:val="nil"/>
                    <w:between w:val="nil"/>
                  </w:pBdr>
                  <w:spacing w:after="0"/>
                  <w:rPr>
                    <w:sz w:val="24"/>
                    <w:szCs w:val="24"/>
                  </w:rPr>
                </w:pPr>
                <w:r>
                  <w:rPr>
                    <w:sz w:val="24"/>
                    <w:szCs w:val="24"/>
                  </w:rPr>
                  <w:t xml:space="preserve">Descripción </w:t>
                </w:r>
              </w:p>
            </w:tc>
            <w:tc>
              <w:tcPr>
                <w:tcW w:w="3134" w:type="dxa"/>
                <w:shd w:val="clear" w:color="auto" w:fill="auto"/>
                <w:tcMar>
                  <w:top w:w="100" w:type="dxa"/>
                  <w:left w:w="100" w:type="dxa"/>
                  <w:bottom w:w="100" w:type="dxa"/>
                  <w:right w:w="100" w:type="dxa"/>
                </w:tcMar>
              </w:tcPr>
              <w:p w14:paraId="6D5EC559" w14:textId="77777777" w:rsidR="008B3252" w:rsidRDefault="008B3252" w:rsidP="003C2C7C">
                <w:pPr>
                  <w:widowControl w:val="0"/>
                  <w:pBdr>
                    <w:top w:val="nil"/>
                    <w:left w:val="nil"/>
                    <w:bottom w:val="nil"/>
                    <w:right w:val="nil"/>
                    <w:between w:val="nil"/>
                  </w:pBdr>
                  <w:spacing w:after="0"/>
                  <w:rPr>
                    <w:sz w:val="24"/>
                    <w:szCs w:val="24"/>
                  </w:rPr>
                </w:pPr>
              </w:p>
            </w:tc>
          </w:tr>
          <w:tr w:rsidR="008B3252" w14:paraId="0FC7E458" w14:textId="77777777" w:rsidTr="003C2C7C">
            <w:tc>
              <w:tcPr>
                <w:tcW w:w="3134" w:type="dxa"/>
                <w:shd w:val="clear" w:color="auto" w:fill="auto"/>
                <w:tcMar>
                  <w:top w:w="100" w:type="dxa"/>
                  <w:left w:w="100" w:type="dxa"/>
                  <w:bottom w:w="100" w:type="dxa"/>
                  <w:right w:w="100" w:type="dxa"/>
                </w:tcMar>
              </w:tcPr>
              <w:p w14:paraId="2EC05F8D" w14:textId="77777777" w:rsidR="008B3252" w:rsidRDefault="008B3252" w:rsidP="003C2C7C">
                <w:pPr>
                  <w:widowControl w:val="0"/>
                  <w:pBdr>
                    <w:top w:val="nil"/>
                    <w:left w:val="nil"/>
                    <w:bottom w:val="nil"/>
                    <w:right w:val="nil"/>
                    <w:between w:val="nil"/>
                  </w:pBdr>
                  <w:spacing w:after="0"/>
                  <w:rPr>
                    <w:sz w:val="24"/>
                    <w:szCs w:val="24"/>
                  </w:rPr>
                </w:pPr>
                <w:r>
                  <w:rPr>
                    <w:sz w:val="24"/>
                    <w:szCs w:val="24"/>
                  </w:rPr>
                  <w:t>Ambiental</w:t>
                </w:r>
              </w:p>
            </w:tc>
            <w:tc>
              <w:tcPr>
                <w:tcW w:w="3134" w:type="dxa"/>
                <w:shd w:val="clear" w:color="auto" w:fill="auto"/>
                <w:tcMar>
                  <w:top w:w="100" w:type="dxa"/>
                  <w:left w:w="100" w:type="dxa"/>
                  <w:bottom w:w="100" w:type="dxa"/>
                  <w:right w:w="100" w:type="dxa"/>
                </w:tcMar>
              </w:tcPr>
              <w:p w14:paraId="251E5DEB" w14:textId="77777777" w:rsidR="008B3252" w:rsidRDefault="008B3252" w:rsidP="003C2C7C">
                <w:pPr>
                  <w:widowControl w:val="0"/>
                  <w:spacing w:after="0"/>
                  <w:rPr>
                    <w:sz w:val="24"/>
                    <w:szCs w:val="24"/>
                  </w:rPr>
                </w:pPr>
                <w:r>
                  <w:rPr>
                    <w:sz w:val="24"/>
                    <w:szCs w:val="24"/>
                  </w:rPr>
                  <w:t>Sostenibilidad y preservación de los ecosistemas, transiciones productivas, sostenibilidad ambiental.</w:t>
                </w:r>
              </w:p>
            </w:tc>
            <w:tc>
              <w:tcPr>
                <w:tcW w:w="3134" w:type="dxa"/>
                <w:shd w:val="clear" w:color="auto" w:fill="auto"/>
                <w:tcMar>
                  <w:top w:w="100" w:type="dxa"/>
                  <w:left w:w="100" w:type="dxa"/>
                  <w:bottom w:w="100" w:type="dxa"/>
                  <w:right w:w="100" w:type="dxa"/>
                </w:tcMar>
              </w:tcPr>
              <w:p w14:paraId="1905D4F8" w14:textId="77777777" w:rsidR="008B3252" w:rsidRDefault="008B3252" w:rsidP="003C2C7C">
                <w:pPr>
                  <w:widowControl w:val="0"/>
                  <w:pBdr>
                    <w:top w:val="nil"/>
                    <w:left w:val="nil"/>
                    <w:bottom w:val="nil"/>
                    <w:right w:val="nil"/>
                    <w:between w:val="nil"/>
                  </w:pBdr>
                  <w:spacing w:after="0"/>
                  <w:rPr>
                    <w:sz w:val="24"/>
                    <w:szCs w:val="24"/>
                  </w:rPr>
                </w:pPr>
              </w:p>
            </w:tc>
          </w:tr>
          <w:tr w:rsidR="008B3252" w14:paraId="0EC46C8D" w14:textId="77777777" w:rsidTr="003C2C7C">
            <w:tc>
              <w:tcPr>
                <w:tcW w:w="3134" w:type="dxa"/>
                <w:shd w:val="clear" w:color="auto" w:fill="auto"/>
                <w:tcMar>
                  <w:top w:w="100" w:type="dxa"/>
                  <w:left w:w="100" w:type="dxa"/>
                  <w:bottom w:w="100" w:type="dxa"/>
                  <w:right w:w="100" w:type="dxa"/>
                </w:tcMar>
              </w:tcPr>
              <w:p w14:paraId="028FCAEE" w14:textId="77777777" w:rsidR="008B3252" w:rsidRDefault="008B3252" w:rsidP="003C2C7C">
                <w:pPr>
                  <w:widowControl w:val="0"/>
                  <w:pBdr>
                    <w:top w:val="nil"/>
                    <w:left w:val="nil"/>
                    <w:bottom w:val="nil"/>
                    <w:right w:val="nil"/>
                    <w:between w:val="nil"/>
                  </w:pBdr>
                  <w:spacing w:after="0"/>
                  <w:rPr>
                    <w:sz w:val="24"/>
                    <w:szCs w:val="24"/>
                  </w:rPr>
                </w:pPr>
                <w:r>
                  <w:rPr>
                    <w:sz w:val="24"/>
                    <w:szCs w:val="24"/>
                  </w:rPr>
                  <w:lastRenderedPageBreak/>
                  <w:t>Social</w:t>
                </w:r>
              </w:p>
            </w:tc>
            <w:tc>
              <w:tcPr>
                <w:tcW w:w="3134" w:type="dxa"/>
                <w:shd w:val="clear" w:color="auto" w:fill="auto"/>
                <w:tcMar>
                  <w:top w:w="100" w:type="dxa"/>
                  <w:left w:w="100" w:type="dxa"/>
                  <w:bottom w:w="100" w:type="dxa"/>
                  <w:right w:w="100" w:type="dxa"/>
                </w:tcMar>
              </w:tcPr>
              <w:p w14:paraId="6168C076" w14:textId="77777777" w:rsidR="008B3252" w:rsidRDefault="008B3252" w:rsidP="003C2C7C">
                <w:pPr>
                  <w:widowControl w:val="0"/>
                  <w:pBdr>
                    <w:top w:val="nil"/>
                    <w:left w:val="nil"/>
                    <w:bottom w:val="nil"/>
                    <w:right w:val="nil"/>
                    <w:between w:val="nil"/>
                  </w:pBdr>
                  <w:spacing w:after="0"/>
                  <w:rPr>
                    <w:sz w:val="24"/>
                    <w:szCs w:val="24"/>
                  </w:rPr>
                </w:pPr>
                <w:r>
                  <w:rPr>
                    <w:sz w:val="24"/>
                    <w:szCs w:val="24"/>
                  </w:rPr>
                  <w:t>Garantía de derechos, participación social, desarrollo local y comunitario.</w:t>
                </w:r>
              </w:p>
            </w:tc>
            <w:tc>
              <w:tcPr>
                <w:tcW w:w="3134" w:type="dxa"/>
                <w:shd w:val="clear" w:color="auto" w:fill="auto"/>
                <w:tcMar>
                  <w:top w:w="100" w:type="dxa"/>
                  <w:left w:w="100" w:type="dxa"/>
                  <w:bottom w:w="100" w:type="dxa"/>
                  <w:right w:w="100" w:type="dxa"/>
                </w:tcMar>
              </w:tcPr>
              <w:p w14:paraId="0AAC4AF6" w14:textId="77777777" w:rsidR="008B3252" w:rsidRDefault="008B3252" w:rsidP="003C2C7C">
                <w:pPr>
                  <w:widowControl w:val="0"/>
                  <w:pBdr>
                    <w:top w:val="nil"/>
                    <w:left w:val="nil"/>
                    <w:bottom w:val="nil"/>
                    <w:right w:val="nil"/>
                    <w:between w:val="nil"/>
                  </w:pBdr>
                  <w:spacing w:after="0"/>
                  <w:rPr>
                    <w:sz w:val="24"/>
                    <w:szCs w:val="24"/>
                  </w:rPr>
                </w:pPr>
              </w:p>
            </w:tc>
          </w:tr>
          <w:tr w:rsidR="008B3252" w14:paraId="13244E0D" w14:textId="77777777" w:rsidTr="008757C2">
            <w:tc>
              <w:tcPr>
                <w:tcW w:w="3134" w:type="dxa"/>
                <w:shd w:val="clear" w:color="auto" w:fill="auto"/>
                <w:tcMar>
                  <w:top w:w="100" w:type="dxa"/>
                  <w:left w:w="100" w:type="dxa"/>
                  <w:bottom w:w="100" w:type="dxa"/>
                  <w:right w:w="100" w:type="dxa"/>
                </w:tcMar>
              </w:tcPr>
              <w:p w14:paraId="20852502" w14:textId="77777777" w:rsidR="008B3252" w:rsidRDefault="008B3252" w:rsidP="003C2C7C">
                <w:pPr>
                  <w:widowControl w:val="0"/>
                  <w:pBdr>
                    <w:top w:val="nil"/>
                    <w:left w:val="nil"/>
                    <w:bottom w:val="nil"/>
                    <w:right w:val="nil"/>
                    <w:between w:val="nil"/>
                  </w:pBdr>
                  <w:spacing w:after="0"/>
                  <w:rPr>
                    <w:sz w:val="24"/>
                    <w:szCs w:val="24"/>
                  </w:rPr>
                </w:pPr>
                <w:r>
                  <w:rPr>
                    <w:sz w:val="24"/>
                    <w:szCs w:val="24"/>
                  </w:rPr>
                  <w:t>Institucional y Gobernanza</w:t>
                </w:r>
              </w:p>
            </w:tc>
            <w:tc>
              <w:tcPr>
                <w:tcW w:w="3135" w:type="dxa"/>
                <w:shd w:val="clear" w:color="auto" w:fill="auto"/>
                <w:tcMar>
                  <w:top w:w="100" w:type="dxa"/>
                  <w:left w:w="100" w:type="dxa"/>
                  <w:bottom w:w="100" w:type="dxa"/>
                  <w:right w:w="100" w:type="dxa"/>
                </w:tcMar>
              </w:tcPr>
              <w:p w14:paraId="2EE971A7" w14:textId="77777777" w:rsidR="008B3252" w:rsidRDefault="008B3252" w:rsidP="003C2C7C">
                <w:pPr>
                  <w:widowControl w:val="0"/>
                  <w:pBdr>
                    <w:top w:val="nil"/>
                    <w:left w:val="nil"/>
                    <w:bottom w:val="nil"/>
                    <w:right w:val="nil"/>
                    <w:between w:val="nil"/>
                  </w:pBdr>
                  <w:spacing w:after="0"/>
                  <w:rPr>
                    <w:sz w:val="24"/>
                    <w:szCs w:val="24"/>
                  </w:rPr>
                </w:pPr>
                <w:r>
                  <w:rPr>
                    <w:sz w:val="24"/>
                    <w:szCs w:val="24"/>
                  </w:rPr>
                  <w:t xml:space="preserve">Fortalecimiento de las capacidades del Estado, transparencia, resolución pacífica de conflictos territoriales </w:t>
                </w:r>
              </w:p>
            </w:tc>
            <w:tc>
              <w:tcPr>
                <w:tcW w:w="3135" w:type="dxa"/>
                <w:shd w:val="clear" w:color="auto" w:fill="auto"/>
                <w:tcMar>
                  <w:top w:w="100" w:type="dxa"/>
                  <w:left w:w="100" w:type="dxa"/>
                  <w:bottom w:w="100" w:type="dxa"/>
                  <w:right w:w="100" w:type="dxa"/>
                </w:tcMar>
              </w:tcPr>
              <w:p w14:paraId="4CB9E8C9" w14:textId="77777777" w:rsidR="008B3252" w:rsidRDefault="00C72D7D" w:rsidP="003C2C7C">
                <w:pPr>
                  <w:widowControl w:val="0"/>
                  <w:pBdr>
                    <w:top w:val="nil"/>
                    <w:left w:val="nil"/>
                    <w:bottom w:val="nil"/>
                    <w:right w:val="nil"/>
                    <w:between w:val="nil"/>
                  </w:pBdr>
                  <w:spacing w:after="0"/>
                  <w:rPr>
                    <w:sz w:val="24"/>
                    <w:szCs w:val="24"/>
                  </w:rPr>
                </w:pPr>
              </w:p>
            </w:tc>
          </w:tr>
        </w:tbl>
      </w:sdtContent>
    </w:sdt>
    <w:p w14:paraId="72D2F2D4" w14:textId="77777777" w:rsidR="008757C2" w:rsidRDefault="008757C2" w:rsidP="008757C2">
      <w:pPr>
        <w:jc w:val="both"/>
        <w:rPr>
          <w:sz w:val="24"/>
          <w:szCs w:val="24"/>
        </w:rPr>
      </w:pPr>
    </w:p>
    <w:p w14:paraId="21BAB25E" w14:textId="77777777" w:rsidR="008B3252" w:rsidRPr="00985B97" w:rsidRDefault="008B3252" w:rsidP="00A86834">
      <w:pPr>
        <w:pStyle w:val="Ttulo1"/>
      </w:pPr>
      <w:bookmarkStart w:id="99" w:name="_Toc235107975"/>
      <w:r w:rsidRPr="00985B97">
        <w:t>Referencias</w:t>
      </w:r>
      <w:bookmarkEnd w:id="99"/>
    </w:p>
    <w:p w14:paraId="125983A9" w14:textId="77777777" w:rsidR="008B3252" w:rsidRPr="00985B97" w:rsidRDefault="008B3252" w:rsidP="00985B97">
      <w:pPr>
        <w:spacing w:before="240" w:after="240"/>
        <w:jc w:val="both"/>
        <w:rPr>
          <w:color w:val="1155CC"/>
          <w:u w:val="single"/>
        </w:rPr>
      </w:pPr>
      <w:r w:rsidRPr="00985B97">
        <w:t xml:space="preserve">Agencia Nacional de Minería. (2022). </w:t>
      </w:r>
      <w:r w:rsidRPr="00985B97">
        <w:rPr>
          <w:i/>
          <w:iCs/>
        </w:rPr>
        <w:t>Cartilla: Minería para la vida</w:t>
      </w:r>
      <w:r w:rsidRPr="00985B97">
        <w:t>.</w:t>
      </w:r>
      <w:hyperlink r:id="rId15">
        <w:r w:rsidRPr="00985B97">
          <w:t xml:space="preserve"> </w:t>
        </w:r>
      </w:hyperlink>
      <w:hyperlink r:id="rId16">
        <w:r w:rsidRPr="00985B97">
          <w:rPr>
            <w:color w:val="1155CC"/>
            <w:u w:val="single"/>
          </w:rPr>
          <w:t>https://www.anm.gov.co/sites/default/files/Cartilla_mineria_para_la_vida-diciembre_2022.pdf</w:t>
        </w:r>
      </w:hyperlink>
    </w:p>
    <w:p w14:paraId="0F1CB720" w14:textId="77777777" w:rsidR="008B3252" w:rsidRPr="00985B97" w:rsidRDefault="008B3252" w:rsidP="00985B97">
      <w:pPr>
        <w:spacing w:before="240" w:after="240"/>
        <w:jc w:val="both"/>
        <w:rPr>
          <w:color w:val="1155CC"/>
          <w:u w:val="single"/>
        </w:rPr>
      </w:pPr>
      <w:r w:rsidRPr="00985B97">
        <w:t xml:space="preserve">Agencia Nacional de Minería. (2024). </w:t>
      </w:r>
      <w:r w:rsidRPr="00985B97">
        <w:rPr>
          <w:i/>
          <w:iCs/>
        </w:rPr>
        <w:t>Cartilla minera (diciembre 2024)</w:t>
      </w:r>
      <w:r w:rsidRPr="00985B97">
        <w:t>.</w:t>
      </w:r>
      <w:hyperlink r:id="rId17">
        <w:r w:rsidRPr="00985B97">
          <w:t xml:space="preserve"> </w:t>
        </w:r>
      </w:hyperlink>
      <w:hyperlink r:id="rId18">
        <w:r w:rsidRPr="00985B97">
          <w:rPr>
            <w:color w:val="1155CC"/>
            <w:u w:val="single"/>
          </w:rPr>
          <w:t>https://mineriaencolombia.anm.gov.co/sites/default/files/docupromocion/Cartilla%20diciembre%202024.pdf</w:t>
        </w:r>
      </w:hyperlink>
    </w:p>
    <w:p w14:paraId="5BA9FA19" w14:textId="77777777" w:rsidR="008B3252" w:rsidRPr="00985B97" w:rsidRDefault="008B3252" w:rsidP="00985B97">
      <w:pPr>
        <w:spacing w:before="240" w:after="240"/>
        <w:jc w:val="both"/>
      </w:pPr>
      <w:r w:rsidRPr="00985B97">
        <w:rPr>
          <w:i/>
          <w:iCs/>
        </w:rPr>
        <w:t>Decreto 2294 de 2023: Por el cual se crea una planta transitoria en el Departamento Administrativo de la Presidencia de la República</w:t>
      </w:r>
      <w:r w:rsidRPr="00985B97">
        <w:t xml:space="preserve"> (Diario Oficial No. 52 623).</w:t>
      </w:r>
      <w:hyperlink r:id="rId19">
        <w:r w:rsidRPr="00985B97">
          <w:t xml:space="preserve"> https://www.suin-juriscol.gov.co/viewDocument.asp?ruta=Decretos%2F30050718</w:t>
        </w:r>
      </w:hyperlink>
    </w:p>
    <w:p w14:paraId="22EC891F" w14:textId="77777777" w:rsidR="008B3252" w:rsidRPr="00985B97" w:rsidRDefault="008B3252" w:rsidP="00985B97">
      <w:pPr>
        <w:spacing w:before="240" w:after="240"/>
        <w:jc w:val="both"/>
        <w:rPr>
          <w:color w:val="1155CC"/>
          <w:u w:val="single"/>
        </w:rPr>
      </w:pPr>
      <w:r w:rsidRPr="00985B97">
        <w:t xml:space="preserve">Defensoría del Pueblo. (2024). </w:t>
      </w:r>
      <w:r w:rsidRPr="00985B97">
        <w:rPr>
          <w:i/>
          <w:iCs/>
        </w:rPr>
        <w:t>Conflictos sociales en el sector minero-energético aumentaron un 46 % durante el 2023 en Colombia</w:t>
      </w:r>
      <w:r w:rsidRPr="00985B97">
        <w:t>.</w:t>
      </w:r>
      <w:hyperlink r:id="rId20">
        <w:r w:rsidRPr="00985B97">
          <w:t xml:space="preserve"> </w:t>
        </w:r>
      </w:hyperlink>
      <w:hyperlink r:id="rId21">
        <w:r w:rsidRPr="00985B97">
          <w:rPr>
            <w:color w:val="1155CC"/>
            <w:u w:val="single"/>
          </w:rPr>
          <w:t>https://www.defensoria.gov.co/-/conflictos-sociales-en-el-sector-minero-energ%C3%A9tico-aumentaron-un-46-durante-el-2023-en-colombia</w:t>
        </w:r>
      </w:hyperlink>
    </w:p>
    <w:p w14:paraId="67551D49" w14:textId="77777777" w:rsidR="008B3252" w:rsidRPr="00985B97" w:rsidRDefault="008B3252" w:rsidP="00985B97">
      <w:pPr>
        <w:spacing w:before="240" w:after="240"/>
        <w:jc w:val="both"/>
      </w:pPr>
      <w:r w:rsidRPr="00985B97">
        <w:lastRenderedPageBreak/>
        <w:t xml:space="preserve">El Tiempo. (2025). </w:t>
      </w:r>
      <w:r w:rsidRPr="00985B97">
        <w:rPr>
          <w:i/>
          <w:iCs/>
        </w:rPr>
        <w:t>Cerca del 50 % de las empresas mineras quieren reducir operaciones en Colombia</w:t>
      </w:r>
      <w:r w:rsidRPr="00985B97">
        <w:t>.</w:t>
      </w:r>
      <w:hyperlink r:id="rId22">
        <w:r w:rsidRPr="00985B97">
          <w:t xml:space="preserve"> </w:t>
        </w:r>
      </w:hyperlink>
      <w:hyperlink r:id="rId23">
        <w:r w:rsidRPr="00985B97">
          <w:rPr>
            <w:color w:val="1155CC"/>
            <w:u w:val="single"/>
          </w:rPr>
          <w:t>https://www.eltiempo.com/economia/sectores/cerca-del-50-de-las-empresas-mineras-quieren-reducir-operaciones-en-colombia-3336130</w:t>
        </w:r>
      </w:hyperlink>
    </w:p>
    <w:p w14:paraId="47516E1C" w14:textId="77777777" w:rsidR="008B3252" w:rsidRPr="00985B97" w:rsidRDefault="008B3252" w:rsidP="00985B97">
      <w:pPr>
        <w:spacing w:before="240" w:after="240"/>
        <w:jc w:val="both"/>
        <w:rPr>
          <w:color w:val="1155CC"/>
          <w:u w:val="single"/>
        </w:rPr>
      </w:pPr>
      <w:r w:rsidRPr="00985B97">
        <w:t xml:space="preserve">Esteva, G. (2009). </w:t>
      </w:r>
      <w:r w:rsidRPr="00985B97">
        <w:rPr>
          <w:i/>
          <w:iCs/>
        </w:rPr>
        <w:t>Más allá del desarrollo: la buena vida</w:t>
      </w:r>
      <w:r w:rsidRPr="00985B97">
        <w:t xml:space="preserve">. </w:t>
      </w:r>
      <w:r w:rsidRPr="00985B97">
        <w:rPr>
          <w:i/>
          <w:iCs/>
        </w:rPr>
        <w:t>América Latina en Movimiento</w:t>
      </w:r>
      <w:r w:rsidRPr="00985B97">
        <w:t>, (445), 1–6.</w:t>
      </w:r>
      <w:hyperlink r:id="rId24">
        <w:r w:rsidRPr="00985B97">
          <w:t xml:space="preserve"> </w:t>
        </w:r>
      </w:hyperlink>
      <w:hyperlink r:id="rId25">
        <w:r w:rsidRPr="00985B97">
          <w:rPr>
            <w:color w:val="1155CC"/>
            <w:u w:val="single"/>
          </w:rPr>
          <w:t>https://repositorio.uasb.edu.ec/bitstream/10644/2802/1/RAA-28%20Gustavo%20Esteva%2C%20M%C3%A1s%20all%C3%A1%20del%20desarrollo....pdf</w:t>
        </w:r>
      </w:hyperlink>
    </w:p>
    <w:p w14:paraId="19F9F3ED" w14:textId="77777777" w:rsidR="008B3252" w:rsidRPr="00985B97" w:rsidRDefault="008B3252" w:rsidP="00985B97">
      <w:pPr>
        <w:jc w:val="both"/>
      </w:pPr>
      <w:r w:rsidRPr="00985B97">
        <w:t xml:space="preserve">Ministerio de Minas y Energía. (2023). </w:t>
      </w:r>
      <w:r w:rsidRPr="00985B97">
        <w:rPr>
          <w:i/>
          <w:iCs/>
        </w:rPr>
        <w:t>Plan estratégico sectorial mina y energía 2023–2026</w:t>
      </w:r>
      <w:r w:rsidRPr="00985B97">
        <w:t>.</w:t>
      </w:r>
      <w:hyperlink r:id="rId26">
        <w:r w:rsidRPr="00985B97">
          <w:t xml:space="preserve"> </w:t>
        </w:r>
      </w:hyperlink>
      <w:hyperlink r:id="rId27">
        <w:r w:rsidRPr="00985B97">
          <w:rPr>
            <w:color w:val="1155CC"/>
            <w:u w:val="single"/>
          </w:rPr>
          <w:t>https://www.minenergia.gov.co/documents/11801/Plan_Estrat%C3%A9gico_Sectorial_Mina_y_Energ%C3%ADa.pdf</w:t>
        </w:r>
      </w:hyperlink>
    </w:p>
    <w:p w14:paraId="250F9714" w14:textId="77777777" w:rsidR="008B3252" w:rsidRPr="00985B97" w:rsidRDefault="008B3252" w:rsidP="00985B97">
      <w:pPr>
        <w:spacing w:before="240" w:after="240"/>
        <w:jc w:val="both"/>
        <w:rPr>
          <w:color w:val="1155CC"/>
          <w:u w:val="single"/>
        </w:rPr>
      </w:pPr>
      <w:r w:rsidRPr="00985B97">
        <w:t xml:space="preserve">Ministerio de Minas y Energía. (2024). </w:t>
      </w:r>
      <w:r w:rsidRPr="00985B97">
        <w:rPr>
          <w:i/>
          <w:iCs/>
        </w:rPr>
        <w:t>Memorias al Congreso de la República 2023–2024</w:t>
      </w:r>
      <w:r w:rsidRPr="00985B97">
        <w:t>.</w:t>
      </w:r>
      <w:hyperlink r:id="rId28">
        <w:r w:rsidRPr="00985B97">
          <w:t xml:space="preserve"> </w:t>
        </w:r>
      </w:hyperlink>
      <w:hyperlink r:id="rId29">
        <w:r w:rsidRPr="00985B97">
          <w:rPr>
            <w:color w:val="1155CC"/>
            <w:u w:val="single"/>
          </w:rPr>
          <w:t>https://www.minenergia.gov.co/documents/12320/Memorias_al_Congreso_de_la_Republica_2023-2024.pdf</w:t>
        </w:r>
      </w:hyperlink>
    </w:p>
    <w:p w14:paraId="622394C8" w14:textId="77777777" w:rsidR="008B3252" w:rsidRPr="00985B97" w:rsidRDefault="008B3252" w:rsidP="00985B97">
      <w:pPr>
        <w:spacing w:before="240" w:after="240"/>
        <w:jc w:val="both"/>
        <w:rPr>
          <w:color w:val="1155CC"/>
          <w:u w:val="single"/>
        </w:rPr>
      </w:pPr>
      <w:r w:rsidRPr="00985B97">
        <w:t xml:space="preserve">Ministerio de Minas y Energía. (2024). </w:t>
      </w:r>
      <w:r w:rsidRPr="00985B97">
        <w:rPr>
          <w:i/>
          <w:iCs/>
        </w:rPr>
        <w:t xml:space="preserve">Estrategia de comunicación </w:t>
      </w:r>
      <w:proofErr w:type="spellStart"/>
      <w:r w:rsidRPr="00985B97">
        <w:rPr>
          <w:i/>
          <w:iCs/>
        </w:rPr>
        <w:t>MinEnergía</w:t>
      </w:r>
      <w:proofErr w:type="spellEnd"/>
      <w:r w:rsidRPr="00985B97">
        <w:rPr>
          <w:i/>
          <w:iCs/>
        </w:rPr>
        <w:t xml:space="preserve"> 2024</w:t>
      </w:r>
      <w:r w:rsidRPr="00985B97">
        <w:t>.</w:t>
      </w:r>
      <w:hyperlink r:id="rId30">
        <w:r w:rsidRPr="00985B97">
          <w:t xml:space="preserve"> </w:t>
        </w:r>
      </w:hyperlink>
      <w:hyperlink r:id="rId31">
        <w:r w:rsidRPr="00985B97">
          <w:rPr>
            <w:color w:val="1155CC"/>
            <w:u w:val="single"/>
          </w:rPr>
          <w:t>https://www.minenergia.gov.co/documents/12560/Estrategia_de_Comunicacion_MInEnergia_2024.pdf</w:t>
        </w:r>
      </w:hyperlink>
    </w:p>
    <w:p w14:paraId="0A0FB78B" w14:textId="77777777" w:rsidR="008B3252" w:rsidRPr="00985B97" w:rsidRDefault="008B3252" w:rsidP="00985B97">
      <w:pPr>
        <w:spacing w:before="240" w:after="240"/>
        <w:jc w:val="both"/>
        <w:rPr>
          <w:color w:val="1155CC"/>
          <w:u w:val="single"/>
        </w:rPr>
      </w:pPr>
      <w:r w:rsidRPr="00985B97">
        <w:t xml:space="preserve">Ministerio de Minas y Energía. (2025). </w:t>
      </w:r>
      <w:r w:rsidRPr="00985B97">
        <w:rPr>
          <w:i/>
          <w:iCs/>
        </w:rPr>
        <w:t>Informe de gestión administrativa MME 2025 (Versión 2)</w:t>
      </w:r>
      <w:r w:rsidRPr="00985B97">
        <w:t>.</w:t>
      </w:r>
      <w:hyperlink r:id="rId32">
        <w:r w:rsidRPr="00985B97">
          <w:t xml:space="preserve"> </w:t>
        </w:r>
      </w:hyperlink>
      <w:hyperlink r:id="rId33">
        <w:r w:rsidRPr="00985B97">
          <w:rPr>
            <w:color w:val="1155CC"/>
            <w:u w:val="single"/>
          </w:rPr>
          <w:t>https://www.minenergia.gov.co/documents/14804/Informe_de_Gestion_Administrativa_MME_2025-V2.pdf</w:t>
        </w:r>
      </w:hyperlink>
    </w:p>
    <w:p w14:paraId="1800FEC7" w14:textId="77777777" w:rsidR="008B3252" w:rsidRPr="00985B97" w:rsidRDefault="008B3252" w:rsidP="00985B97">
      <w:pPr>
        <w:spacing w:before="240" w:after="240"/>
        <w:jc w:val="both"/>
        <w:rPr>
          <w:color w:val="1155CC"/>
          <w:u w:val="single"/>
          <w:lang w:val="en-US"/>
        </w:rPr>
      </w:pPr>
      <w:proofErr w:type="spellStart"/>
      <w:r w:rsidRPr="00985B97">
        <w:rPr>
          <w:lang w:val="en-US"/>
        </w:rPr>
        <w:t>Organisation</w:t>
      </w:r>
      <w:proofErr w:type="spellEnd"/>
      <w:r w:rsidRPr="00985B97">
        <w:rPr>
          <w:lang w:val="en-US"/>
        </w:rPr>
        <w:t xml:space="preserve"> for Economic Co-operation and Development. (2026). </w:t>
      </w:r>
      <w:r w:rsidRPr="00985B97">
        <w:rPr>
          <w:i/>
          <w:iCs/>
          <w:lang w:val="en-US"/>
        </w:rPr>
        <w:t>OECD environmental performance reviews: Colombia 2026</w:t>
      </w:r>
      <w:r w:rsidRPr="00985B97">
        <w:rPr>
          <w:lang w:val="en-US"/>
        </w:rPr>
        <w:t>.</w:t>
      </w:r>
      <w:hyperlink r:id="rId34">
        <w:r w:rsidRPr="00985B97">
          <w:rPr>
            <w:lang w:val="en-US"/>
          </w:rPr>
          <w:t xml:space="preserve"> </w:t>
        </w:r>
      </w:hyperlink>
      <w:hyperlink r:id="rId35">
        <w:r w:rsidRPr="00985B97">
          <w:rPr>
            <w:color w:val="1155CC"/>
            <w:u w:val="single"/>
            <w:lang w:val="en-US"/>
          </w:rPr>
          <w:t>https://www.oecd.org/en/publications/oecd-environmental-performance-reviews-colombia-2026_968398f7-en/full-report/assessment-and-recommendations_cf339438.html</w:t>
        </w:r>
      </w:hyperlink>
    </w:p>
    <w:p w14:paraId="793AE35E" w14:textId="77777777" w:rsidR="008B3252" w:rsidRPr="00985B97" w:rsidRDefault="008B3252" w:rsidP="00985B97">
      <w:pPr>
        <w:spacing w:before="240" w:after="240"/>
        <w:jc w:val="both"/>
        <w:rPr>
          <w:color w:val="1155CC"/>
          <w:u w:val="single"/>
        </w:rPr>
      </w:pPr>
      <w:r w:rsidRPr="00985B97">
        <w:t xml:space="preserve">Revista Semana. (2025). </w:t>
      </w:r>
      <w:r w:rsidRPr="00985B97">
        <w:rPr>
          <w:i/>
          <w:iCs/>
        </w:rPr>
        <w:t>Minería en Colombia: empresarios reclaman estabilidad jurídica en medio de impuestos, trabas y violencia</w:t>
      </w:r>
      <w:r w:rsidRPr="00985B97">
        <w:t>.</w:t>
      </w:r>
      <w:hyperlink r:id="rId36">
        <w:r w:rsidRPr="00985B97">
          <w:t xml:space="preserve"> </w:t>
        </w:r>
      </w:hyperlink>
      <w:hyperlink r:id="rId37">
        <w:r w:rsidRPr="00985B97">
          <w:rPr>
            <w:color w:val="1155CC"/>
            <w:u w:val="single"/>
          </w:rPr>
          <w:t>https://www.semana.com/economia/empresas/articulo/mineria-en-colombia-empresarios-reclaman-estabilidad-juridica-en-medio-de-impuestos-trabas-y-violencia/202509/</w:t>
        </w:r>
      </w:hyperlink>
    </w:p>
    <w:p w14:paraId="63318D80" w14:textId="77777777" w:rsidR="008B3252" w:rsidRPr="00985B97" w:rsidRDefault="008B3252" w:rsidP="00985B97">
      <w:pPr>
        <w:spacing w:before="240" w:after="240"/>
        <w:jc w:val="both"/>
        <w:rPr>
          <w:color w:val="1155CC"/>
          <w:u w:val="single"/>
        </w:rPr>
      </w:pPr>
      <w:r w:rsidRPr="00985B97">
        <w:rPr>
          <w:lang w:val="en-US"/>
        </w:rPr>
        <w:t xml:space="preserve">The Access Initiative. (2023). </w:t>
      </w:r>
      <w:r w:rsidRPr="00985B97">
        <w:rPr>
          <w:i/>
          <w:iCs/>
          <w:lang w:val="en-US"/>
        </w:rPr>
        <w:t>Exploring barriers to data use in Colombia’s mining sector</w:t>
      </w:r>
      <w:r w:rsidRPr="00985B97">
        <w:rPr>
          <w:lang w:val="en-US"/>
        </w:rPr>
        <w:t>.</w:t>
      </w:r>
      <w:hyperlink r:id="rId38">
        <w:r w:rsidRPr="00985B97">
          <w:rPr>
            <w:lang w:val="en-US"/>
          </w:rPr>
          <w:t xml:space="preserve"> </w:t>
        </w:r>
      </w:hyperlink>
      <w:hyperlink r:id="rId39">
        <w:r w:rsidRPr="00985B97">
          <w:rPr>
            <w:color w:val="1155CC"/>
            <w:u w:val="single"/>
          </w:rPr>
          <w:t>https://taicollaborative.org/exploring-barriers-to-data-use-in-colombias-mining-sector</w:t>
        </w:r>
      </w:hyperlink>
    </w:p>
    <w:p w14:paraId="7F0E472E" w14:textId="77777777" w:rsidR="008B3252" w:rsidRPr="00985B97" w:rsidRDefault="008B3252" w:rsidP="00985B97">
      <w:pPr>
        <w:spacing w:before="240" w:after="240"/>
        <w:jc w:val="both"/>
        <w:rPr>
          <w:color w:val="1155CC"/>
          <w:u w:val="single"/>
        </w:rPr>
      </w:pPr>
      <w:r w:rsidRPr="00985B97">
        <w:rPr>
          <w:lang w:val="en-US"/>
        </w:rPr>
        <w:lastRenderedPageBreak/>
        <w:t xml:space="preserve">Transparency International. (2025). </w:t>
      </w:r>
      <w:r w:rsidRPr="00985B97">
        <w:rPr>
          <w:i/>
          <w:iCs/>
          <w:lang w:val="en-US"/>
        </w:rPr>
        <w:t>Critical minerals global report</w:t>
      </w:r>
      <w:r w:rsidRPr="00985B97">
        <w:rPr>
          <w:lang w:val="en-US"/>
        </w:rPr>
        <w:t>.</w:t>
      </w:r>
      <w:hyperlink r:id="rId40">
        <w:r w:rsidRPr="00985B97">
          <w:rPr>
            <w:lang w:val="en-US"/>
          </w:rPr>
          <w:t xml:space="preserve"> </w:t>
        </w:r>
      </w:hyperlink>
      <w:hyperlink r:id="rId41">
        <w:r w:rsidRPr="00985B97">
          <w:rPr>
            <w:color w:val="1155CC"/>
            <w:u w:val="single"/>
          </w:rPr>
          <w:t>https://mining.transparency.org.au/wp-content/uploads/2025/03/TIA_Critical-Minerals-Global-Report_Web_12-March-1.pdf</w:t>
        </w:r>
      </w:hyperlink>
    </w:p>
    <w:p w14:paraId="61CDAE30" w14:textId="77777777" w:rsidR="008B3252" w:rsidRPr="00985B97" w:rsidRDefault="008B3252" w:rsidP="00985B97">
      <w:pPr>
        <w:spacing w:before="240" w:after="240"/>
        <w:jc w:val="both"/>
        <w:rPr>
          <w:color w:val="1155CC"/>
          <w:u w:val="single"/>
          <w:lang w:val="en-US"/>
        </w:rPr>
      </w:pPr>
      <w:proofErr w:type="spellStart"/>
      <w:r w:rsidRPr="00985B97">
        <w:rPr>
          <w:lang w:val="en-US"/>
        </w:rPr>
        <w:t>Organisation</w:t>
      </w:r>
      <w:proofErr w:type="spellEnd"/>
      <w:r w:rsidRPr="00985B97">
        <w:rPr>
          <w:lang w:val="en-US"/>
        </w:rPr>
        <w:t xml:space="preserve"> for Economic Co-operation and Development. (2026). </w:t>
      </w:r>
      <w:r w:rsidRPr="00985B97">
        <w:rPr>
          <w:i/>
          <w:iCs/>
          <w:lang w:val="en-US"/>
        </w:rPr>
        <w:t>OECD environmental performance reviews: Colombia 2026</w:t>
      </w:r>
      <w:r w:rsidRPr="00985B97">
        <w:rPr>
          <w:lang w:val="en-US"/>
        </w:rPr>
        <w:t>.</w:t>
      </w:r>
      <w:hyperlink r:id="rId42">
        <w:r w:rsidRPr="00985B97">
          <w:rPr>
            <w:lang w:val="en-US"/>
          </w:rPr>
          <w:t xml:space="preserve"> </w:t>
        </w:r>
      </w:hyperlink>
      <w:hyperlink r:id="rId43">
        <w:r w:rsidRPr="00985B97">
          <w:rPr>
            <w:color w:val="1155CC"/>
            <w:u w:val="single"/>
            <w:lang w:val="en-US"/>
          </w:rPr>
          <w:t>https://www.oecd.org/en/publications/oecd-environmental-performance-reviews-colombia-2026_968398f7-en/full-report/assessment-and-recommendations_cf339438.html</w:t>
        </w:r>
      </w:hyperlink>
    </w:p>
    <w:p w14:paraId="2AA058A8" w14:textId="77777777" w:rsidR="008B3252" w:rsidRPr="00985B97" w:rsidRDefault="008B3252" w:rsidP="00985B97">
      <w:pPr>
        <w:spacing w:before="240" w:after="240"/>
        <w:jc w:val="both"/>
        <w:rPr>
          <w:color w:val="1155CC"/>
          <w:u w:val="single"/>
        </w:rPr>
      </w:pPr>
      <w:r w:rsidRPr="00985B97">
        <w:t xml:space="preserve">Revista Semana. (2025). </w:t>
      </w:r>
      <w:r w:rsidRPr="00985B97">
        <w:rPr>
          <w:i/>
          <w:iCs/>
        </w:rPr>
        <w:t>Minería en Colombia: empresarios reclaman estabilidad jurídica en medio de impuestos, trabas y violencia</w:t>
      </w:r>
      <w:r w:rsidRPr="00985B97">
        <w:t>.</w:t>
      </w:r>
      <w:hyperlink r:id="rId44">
        <w:r w:rsidRPr="00985B97">
          <w:t xml:space="preserve"> </w:t>
        </w:r>
      </w:hyperlink>
      <w:hyperlink r:id="rId45">
        <w:r w:rsidRPr="00985B97">
          <w:rPr>
            <w:color w:val="1155CC"/>
            <w:u w:val="single"/>
          </w:rPr>
          <w:t>https://www.semana.com/economia/empresas/articulo/mineria-en-colombia-empresarios-reclaman-estabilidad-juridica-en-medio-de-impuestos-trabas-y-violencia/202509/</w:t>
        </w:r>
      </w:hyperlink>
    </w:p>
    <w:p w14:paraId="6475EA1D" w14:textId="77777777" w:rsidR="008B3252" w:rsidRPr="00985B97" w:rsidRDefault="008B3252" w:rsidP="00985B97">
      <w:pPr>
        <w:spacing w:before="240" w:after="240"/>
        <w:jc w:val="both"/>
        <w:rPr>
          <w:color w:val="1155CC"/>
          <w:u w:val="single"/>
          <w:lang w:val="en-US"/>
        </w:rPr>
      </w:pPr>
      <w:proofErr w:type="spellStart"/>
      <w:r w:rsidRPr="00985B97">
        <w:t>Teun</w:t>
      </w:r>
      <w:proofErr w:type="spellEnd"/>
      <w:r w:rsidRPr="00985B97">
        <w:t xml:space="preserve"> A. van Dijk (2016). </w:t>
      </w:r>
      <w:r w:rsidRPr="00985B97">
        <w:rPr>
          <w:i/>
          <w:iCs/>
        </w:rPr>
        <w:t>Análisis crítico del discurso</w:t>
      </w:r>
      <w:r w:rsidRPr="00985B97">
        <w:t xml:space="preserve">. </w:t>
      </w:r>
      <w:r w:rsidRPr="00985B97">
        <w:rPr>
          <w:i/>
          <w:iCs/>
        </w:rPr>
        <w:t>Revista Austral de Ciencias Sociales, 30</w:t>
      </w:r>
      <w:r w:rsidRPr="00985B97">
        <w:t>, 203–222.</w:t>
      </w:r>
      <w:hyperlink r:id="rId46">
        <w:r w:rsidRPr="00985B97">
          <w:rPr>
            <w:color w:val="1155CC"/>
            <w:u w:val="single"/>
          </w:rPr>
          <w:t xml:space="preserve"> </w:t>
        </w:r>
        <w:r w:rsidRPr="00985B97">
          <w:rPr>
            <w:color w:val="1155CC"/>
            <w:u w:val="single"/>
            <w:lang w:val="en-US"/>
          </w:rPr>
          <w:t>https://www.redalyc.org/pdf/459/45955901010.pdf</w:t>
        </w:r>
      </w:hyperlink>
      <w:r w:rsidRPr="00985B97">
        <w:rPr>
          <w:color w:val="1155CC"/>
          <w:u w:val="single"/>
          <w:lang w:val="en-US"/>
        </w:rPr>
        <w:t xml:space="preserve"> </w:t>
      </w:r>
    </w:p>
    <w:p w14:paraId="1AA34682" w14:textId="77777777" w:rsidR="008B3252" w:rsidRPr="00985B97" w:rsidRDefault="008B3252" w:rsidP="00985B97">
      <w:pPr>
        <w:spacing w:before="240" w:after="240"/>
        <w:jc w:val="both"/>
        <w:rPr>
          <w:color w:val="1155CC"/>
          <w:u w:val="single"/>
        </w:rPr>
      </w:pPr>
      <w:r w:rsidRPr="00985B97">
        <w:rPr>
          <w:lang w:val="en-US"/>
        </w:rPr>
        <w:t xml:space="preserve">The Access Initiative. (2023). </w:t>
      </w:r>
      <w:r w:rsidRPr="00985B97">
        <w:rPr>
          <w:i/>
          <w:iCs/>
          <w:lang w:val="en-US"/>
        </w:rPr>
        <w:t>Exploring barriers to data use in Colombia’s mining sector</w:t>
      </w:r>
      <w:r w:rsidRPr="00985B97">
        <w:rPr>
          <w:lang w:val="en-US"/>
        </w:rPr>
        <w:t>.</w:t>
      </w:r>
      <w:hyperlink r:id="rId47">
        <w:r w:rsidRPr="00985B97">
          <w:rPr>
            <w:lang w:val="en-US"/>
          </w:rPr>
          <w:t xml:space="preserve"> </w:t>
        </w:r>
      </w:hyperlink>
      <w:hyperlink r:id="rId48">
        <w:r w:rsidRPr="00985B97">
          <w:rPr>
            <w:color w:val="1155CC"/>
            <w:u w:val="single"/>
          </w:rPr>
          <w:t>https://taicollaborative.org/exploring-barriers-to-data-use-in-colombias-mining-sector</w:t>
        </w:r>
      </w:hyperlink>
    </w:p>
    <w:p w14:paraId="04D4B941" w14:textId="77777777" w:rsidR="008B3252" w:rsidRPr="00985B97" w:rsidRDefault="008B3252" w:rsidP="00985B97">
      <w:pPr>
        <w:spacing w:before="240" w:after="240"/>
        <w:jc w:val="both"/>
      </w:pPr>
      <w:r w:rsidRPr="00985B97">
        <w:rPr>
          <w:lang w:val="en-US"/>
        </w:rPr>
        <w:t xml:space="preserve">Transparency International. (2025). </w:t>
      </w:r>
      <w:r w:rsidRPr="00985B97">
        <w:rPr>
          <w:i/>
          <w:iCs/>
          <w:lang w:val="en-US"/>
        </w:rPr>
        <w:t>Critical minerals global report</w:t>
      </w:r>
      <w:r w:rsidRPr="00985B97">
        <w:rPr>
          <w:lang w:val="en-US"/>
        </w:rPr>
        <w:t>.</w:t>
      </w:r>
      <w:hyperlink r:id="rId49">
        <w:r w:rsidRPr="00985B97">
          <w:rPr>
            <w:lang w:val="en-US"/>
          </w:rPr>
          <w:t xml:space="preserve"> </w:t>
        </w:r>
      </w:hyperlink>
      <w:hyperlink r:id="rId50">
        <w:r w:rsidRPr="00985B97">
          <w:rPr>
            <w:color w:val="1155CC"/>
            <w:u w:val="single"/>
          </w:rPr>
          <w:t>https://mining.transparency.org.au/wp-content/uploads/2025/03/TIA_Critical-Minerals-Global-Report_Web_12-March-1.pdf</w:t>
        </w:r>
      </w:hyperlink>
    </w:p>
    <w:p w14:paraId="6FD3A5C9" w14:textId="77777777" w:rsidR="008B3252" w:rsidRPr="00985B97" w:rsidRDefault="008B3252" w:rsidP="00985B97">
      <w:pPr>
        <w:spacing w:before="240" w:after="240"/>
        <w:jc w:val="both"/>
      </w:pPr>
      <w:r w:rsidRPr="00985B97">
        <w:t xml:space="preserve">Unidad de Planeación Minero Energética. (2026, abril). Plan Nacional de Desarrollo Minero: Fase III (Versión 2). Ministerio de Minas y Energía. </w:t>
      </w:r>
      <w:hyperlink r:id="rId51">
        <w:r w:rsidRPr="00985B97">
          <w:rPr>
            <w:color w:val="1155CC"/>
            <w:u w:val="single"/>
          </w:rPr>
          <w:t>https://docs.upme.gov.co/SIMEC/SIMCO/PlaneacionSector/Documents/Plan_Nacional_Desarrollo_Minero_Fase_III_v2_abril_2026.pdf</w:t>
        </w:r>
      </w:hyperlink>
    </w:p>
    <w:p w14:paraId="258C128C" w14:textId="77777777" w:rsidR="008B3252" w:rsidRPr="00985B97" w:rsidRDefault="008B3252" w:rsidP="00985B97">
      <w:pPr>
        <w:spacing w:before="240" w:after="240"/>
        <w:jc w:val="both"/>
      </w:pPr>
    </w:p>
    <w:p w14:paraId="09B04886" w14:textId="77777777" w:rsidR="008B3252" w:rsidRPr="00985B97" w:rsidRDefault="008B3252" w:rsidP="00985B97">
      <w:pPr>
        <w:jc w:val="both"/>
      </w:pPr>
    </w:p>
    <w:p w14:paraId="4ADAF0FB" w14:textId="77777777" w:rsidR="008B3252" w:rsidRPr="00985B97" w:rsidRDefault="008B3252" w:rsidP="00985B97">
      <w:pPr>
        <w:rPr>
          <w:rFonts w:asciiTheme="majorHAnsi" w:hAnsiTheme="majorHAnsi" w:cstheme="majorHAnsi"/>
          <w:color w:val="000000" w:themeColor="text1"/>
        </w:rPr>
      </w:pPr>
    </w:p>
    <w:p w14:paraId="4C5B9EC8" w14:textId="77777777" w:rsidR="00F24A71" w:rsidRPr="00985B97" w:rsidRDefault="00F24A71" w:rsidP="00985B97">
      <w:pPr>
        <w:rPr>
          <w:rFonts w:asciiTheme="majorHAnsi" w:hAnsiTheme="majorHAnsi" w:cstheme="majorHAnsi"/>
          <w:color w:val="000000" w:themeColor="text1"/>
          <w:lang w:val="es-ES"/>
        </w:rPr>
      </w:pPr>
    </w:p>
    <w:p w14:paraId="71E73113" w14:textId="77777777" w:rsidR="00F24A71" w:rsidRDefault="00F24A71" w:rsidP="006245F7">
      <w:pPr>
        <w:rPr>
          <w:rFonts w:asciiTheme="majorHAnsi" w:hAnsiTheme="majorHAnsi" w:cstheme="majorHAnsi"/>
          <w:b/>
          <w:bCs/>
          <w:color w:val="D49E21"/>
          <w:sz w:val="52"/>
          <w:szCs w:val="52"/>
        </w:rPr>
        <w:sectPr w:rsidR="00F24A71">
          <w:pgSz w:w="12240" w:h="15840"/>
          <w:pgMar w:top="1991" w:right="1418" w:bottom="1588" w:left="1418" w:header="573" w:footer="1531" w:gutter="0"/>
          <w:pgNumType w:start="1"/>
          <w:cols w:space="720"/>
        </w:sectPr>
      </w:pPr>
    </w:p>
    <w:p w14:paraId="4D529E9D" w14:textId="77777777" w:rsidR="00F24A71" w:rsidRDefault="00F24A71" w:rsidP="006245F7">
      <w:pPr>
        <w:rPr>
          <w:rFonts w:asciiTheme="majorHAnsi" w:hAnsiTheme="majorHAnsi" w:cstheme="majorHAnsi"/>
          <w:b/>
          <w:bCs/>
          <w:color w:val="D49E21"/>
          <w:sz w:val="52"/>
          <w:szCs w:val="52"/>
        </w:rPr>
      </w:pPr>
    </w:p>
    <w:p w14:paraId="759BB87C" w14:textId="77777777" w:rsidR="004D6A67" w:rsidRDefault="004D6A67" w:rsidP="006245F7">
      <w:pPr>
        <w:rPr>
          <w:rFonts w:asciiTheme="majorHAnsi" w:hAnsiTheme="majorHAnsi" w:cstheme="majorHAnsi"/>
          <w:b/>
          <w:bCs/>
          <w:color w:val="D49E21"/>
          <w:sz w:val="52"/>
          <w:szCs w:val="52"/>
        </w:rPr>
      </w:pPr>
    </w:p>
    <w:p w14:paraId="720169E0" w14:textId="77777777" w:rsidR="004D6A67" w:rsidRDefault="004D6A67" w:rsidP="006245F7">
      <w:pPr>
        <w:rPr>
          <w:rFonts w:asciiTheme="majorHAnsi" w:hAnsiTheme="majorHAnsi" w:cstheme="majorHAnsi"/>
          <w:b/>
          <w:bCs/>
          <w:color w:val="D49E21"/>
          <w:sz w:val="52"/>
          <w:szCs w:val="52"/>
        </w:rPr>
      </w:pPr>
    </w:p>
    <w:p w14:paraId="3B47A7E4" w14:textId="77777777" w:rsidR="004D6A67" w:rsidRDefault="004D6A67" w:rsidP="006245F7">
      <w:pPr>
        <w:rPr>
          <w:rFonts w:asciiTheme="majorHAnsi" w:hAnsiTheme="majorHAnsi" w:cstheme="majorHAnsi"/>
          <w:b/>
          <w:bCs/>
          <w:color w:val="D49E21"/>
          <w:sz w:val="52"/>
          <w:szCs w:val="52"/>
        </w:rPr>
      </w:pPr>
    </w:p>
    <w:p w14:paraId="4700B6DC" w14:textId="77777777" w:rsidR="004D6A67" w:rsidRDefault="004D6A67" w:rsidP="006245F7">
      <w:pPr>
        <w:rPr>
          <w:rFonts w:asciiTheme="majorHAnsi" w:hAnsiTheme="majorHAnsi" w:cstheme="majorHAnsi"/>
          <w:b/>
          <w:bCs/>
          <w:color w:val="D49E21"/>
          <w:sz w:val="52"/>
          <w:szCs w:val="52"/>
        </w:rPr>
      </w:pPr>
    </w:p>
    <w:p w14:paraId="016EB78A" w14:textId="77777777" w:rsidR="00A86834" w:rsidRDefault="006245F7" w:rsidP="00CD0C90">
      <w:pPr>
        <w:jc w:val="center"/>
        <w:rPr>
          <w:rFonts w:asciiTheme="majorHAnsi" w:hAnsiTheme="majorHAnsi" w:cstheme="majorHAnsi"/>
          <w:b/>
          <w:bCs/>
          <w:color w:val="D49E21"/>
          <w:sz w:val="96"/>
          <w:szCs w:val="96"/>
        </w:rPr>
        <w:sectPr w:rsidR="00A86834">
          <w:pgSz w:w="12240" w:h="15840"/>
          <w:pgMar w:top="1991" w:right="1418" w:bottom="1588" w:left="1418" w:header="573" w:footer="1531" w:gutter="0"/>
          <w:pgNumType w:start="1"/>
          <w:cols w:space="720"/>
        </w:sectPr>
      </w:pPr>
      <w:bookmarkStart w:id="100" w:name="BM_EjeEnergia"/>
      <w:r w:rsidRPr="00F24A71">
        <w:rPr>
          <w:rFonts w:asciiTheme="majorHAnsi" w:hAnsiTheme="majorHAnsi" w:cstheme="majorHAnsi"/>
          <w:b/>
          <w:bCs/>
          <w:color w:val="D49E21"/>
          <w:sz w:val="96"/>
          <w:szCs w:val="96"/>
        </w:rPr>
        <w:t>EJE ENERGÍA</w:t>
      </w:r>
      <w:bookmarkEnd w:id="100"/>
    </w:p>
    <w:p w14:paraId="590C6EA3" w14:textId="77777777" w:rsidR="00E33FDE" w:rsidRDefault="00C72D7D" w:rsidP="00A86834">
      <w:pPr>
        <w:pStyle w:val="TtuloTDC"/>
        <w:jc w:val="left"/>
      </w:pPr>
      <w:r>
        <w:lastRenderedPageBreak/>
        <w:t>Contenido</w:t>
      </w:r>
    </w:p>
    <w:p w14:paraId="4CFD5568" w14:textId="77777777" w:rsidR="00E33FDE" w:rsidRDefault="00C72D7D">
      <w:pPr>
        <w:pStyle w:val="TDC1"/>
        <w:tabs>
          <w:tab w:val="right" w:leader="dot" w:pos="9394"/>
        </w:tabs>
        <w:rPr>
          <w:noProof/>
        </w:rPr>
      </w:pPr>
      <w:hyperlink w:anchor="_Toc235107976" w:history="1">
        <w:r>
          <w:rPr>
            <w:rStyle w:val="Hipervnculo"/>
            <w:noProof/>
          </w:rPr>
          <w:t>I. Introducción</w:t>
        </w:r>
        <w:r>
          <w:rPr>
            <w:noProof/>
          </w:rPr>
          <w:tab/>
        </w:r>
        <w:r>
          <w:rPr>
            <w:noProof/>
          </w:rPr>
          <w:fldChar w:fldCharType="begin" w:fldLock="1"/>
        </w:r>
        <w:r>
          <w:rPr>
            <w:noProof/>
          </w:rPr>
          <w:instrText xml:space="preserve"> PAGEREF _Toc235107976 \h </w:instrText>
        </w:r>
        <w:r>
          <w:rPr>
            <w:noProof/>
          </w:rPr>
        </w:r>
        <w:r>
          <w:rPr>
            <w:noProof/>
          </w:rPr>
          <w:fldChar w:fldCharType="separate"/>
        </w:r>
        <w:r>
          <w:rPr>
            <w:noProof/>
          </w:rPr>
          <w:t>63</w:t>
        </w:r>
        <w:r>
          <w:rPr>
            <w:noProof/>
          </w:rPr>
          <w:fldChar w:fldCharType="end"/>
        </w:r>
      </w:hyperlink>
    </w:p>
    <w:p w14:paraId="2DC25531" w14:textId="77777777" w:rsidR="00E33FDE" w:rsidRDefault="00C72D7D">
      <w:pPr>
        <w:pStyle w:val="TDC1"/>
        <w:tabs>
          <w:tab w:val="right" w:leader="dot" w:pos="9394"/>
        </w:tabs>
        <w:rPr>
          <w:noProof/>
        </w:rPr>
      </w:pPr>
      <w:hyperlink w:anchor="_Toc235107977" w:history="1">
        <w:r>
          <w:rPr>
            <w:rStyle w:val="Hipervnculo"/>
            <w:noProof/>
          </w:rPr>
          <w:t>Marco teórico</w:t>
        </w:r>
        <w:r>
          <w:rPr>
            <w:noProof/>
          </w:rPr>
          <w:tab/>
        </w:r>
        <w:r>
          <w:rPr>
            <w:noProof/>
          </w:rPr>
          <w:fldChar w:fldCharType="begin" w:fldLock="1"/>
        </w:r>
        <w:r>
          <w:rPr>
            <w:noProof/>
          </w:rPr>
          <w:instrText xml:space="preserve"> PAGEREF _Toc235107977 \h </w:instrText>
        </w:r>
        <w:r>
          <w:rPr>
            <w:noProof/>
          </w:rPr>
        </w:r>
        <w:r>
          <w:rPr>
            <w:noProof/>
          </w:rPr>
          <w:fldChar w:fldCharType="separate"/>
        </w:r>
        <w:r>
          <w:rPr>
            <w:noProof/>
          </w:rPr>
          <w:t>65</w:t>
        </w:r>
        <w:r>
          <w:rPr>
            <w:noProof/>
          </w:rPr>
          <w:fldChar w:fldCharType="end"/>
        </w:r>
      </w:hyperlink>
    </w:p>
    <w:p w14:paraId="134B0D8C" w14:textId="77777777" w:rsidR="00E33FDE" w:rsidRDefault="00C72D7D">
      <w:pPr>
        <w:pStyle w:val="TDC1"/>
        <w:tabs>
          <w:tab w:val="right" w:leader="dot" w:pos="9394"/>
        </w:tabs>
        <w:rPr>
          <w:noProof/>
        </w:rPr>
      </w:pPr>
      <w:hyperlink w:anchor="_Toc235107978" w:history="1">
        <w:r>
          <w:rPr>
            <w:rStyle w:val="Hipervnculo"/>
            <w:noProof/>
          </w:rPr>
          <w:t>Marco conceptu</w:t>
        </w:r>
        <w:r>
          <w:rPr>
            <w:rStyle w:val="Hipervnculo"/>
            <w:noProof/>
          </w:rPr>
          <w:t>al</w:t>
        </w:r>
        <w:r>
          <w:rPr>
            <w:noProof/>
          </w:rPr>
          <w:tab/>
        </w:r>
        <w:r>
          <w:rPr>
            <w:noProof/>
          </w:rPr>
          <w:fldChar w:fldCharType="begin" w:fldLock="1"/>
        </w:r>
        <w:r>
          <w:rPr>
            <w:noProof/>
          </w:rPr>
          <w:instrText xml:space="preserve"> PAGEREF _Toc235107978 \h </w:instrText>
        </w:r>
        <w:r>
          <w:rPr>
            <w:noProof/>
          </w:rPr>
        </w:r>
        <w:r>
          <w:rPr>
            <w:noProof/>
          </w:rPr>
          <w:fldChar w:fldCharType="separate"/>
        </w:r>
        <w:r>
          <w:rPr>
            <w:noProof/>
          </w:rPr>
          <w:t>69</w:t>
        </w:r>
        <w:r>
          <w:rPr>
            <w:noProof/>
          </w:rPr>
          <w:fldChar w:fldCharType="end"/>
        </w:r>
      </w:hyperlink>
    </w:p>
    <w:p w14:paraId="4153780B" w14:textId="77777777" w:rsidR="00E33FDE" w:rsidRDefault="00C72D7D">
      <w:pPr>
        <w:pStyle w:val="TDC1"/>
        <w:tabs>
          <w:tab w:val="right" w:leader="dot" w:pos="9394"/>
        </w:tabs>
        <w:rPr>
          <w:noProof/>
        </w:rPr>
      </w:pPr>
      <w:hyperlink w:anchor="_Toc235107979" w:history="1">
        <w:r>
          <w:rPr>
            <w:rStyle w:val="Hipervnculo"/>
            <w:noProof/>
          </w:rPr>
          <w:t>Marco normativo</w:t>
        </w:r>
        <w:r>
          <w:rPr>
            <w:noProof/>
          </w:rPr>
          <w:tab/>
        </w:r>
        <w:r>
          <w:rPr>
            <w:noProof/>
          </w:rPr>
          <w:fldChar w:fldCharType="begin" w:fldLock="1"/>
        </w:r>
        <w:r>
          <w:rPr>
            <w:noProof/>
          </w:rPr>
          <w:instrText xml:space="preserve"> PAGEREF _Toc235107979 \h </w:instrText>
        </w:r>
        <w:r>
          <w:rPr>
            <w:noProof/>
          </w:rPr>
        </w:r>
        <w:r>
          <w:rPr>
            <w:noProof/>
          </w:rPr>
          <w:fldChar w:fldCharType="separate"/>
        </w:r>
        <w:r>
          <w:rPr>
            <w:noProof/>
          </w:rPr>
          <w:t>70</w:t>
        </w:r>
        <w:r>
          <w:rPr>
            <w:noProof/>
          </w:rPr>
          <w:fldChar w:fldCharType="end"/>
        </w:r>
      </w:hyperlink>
    </w:p>
    <w:p w14:paraId="3A312313" w14:textId="77777777" w:rsidR="00E33FDE" w:rsidRDefault="00C72D7D">
      <w:pPr>
        <w:pStyle w:val="TDC1"/>
        <w:tabs>
          <w:tab w:val="right" w:leader="dot" w:pos="9394"/>
        </w:tabs>
        <w:rPr>
          <w:noProof/>
        </w:rPr>
      </w:pPr>
      <w:hyperlink w:anchor="_Toc235107980" w:history="1">
        <w:r>
          <w:rPr>
            <w:rStyle w:val="Hipervnculo"/>
            <w:noProof/>
          </w:rPr>
          <w:t>Metodología</w:t>
        </w:r>
        <w:r>
          <w:rPr>
            <w:noProof/>
          </w:rPr>
          <w:tab/>
        </w:r>
        <w:r>
          <w:rPr>
            <w:noProof/>
          </w:rPr>
          <w:fldChar w:fldCharType="begin" w:fldLock="1"/>
        </w:r>
        <w:r>
          <w:rPr>
            <w:noProof/>
          </w:rPr>
          <w:instrText xml:space="preserve"> PAGEREF _Toc235107980 \h </w:instrText>
        </w:r>
        <w:r>
          <w:rPr>
            <w:noProof/>
          </w:rPr>
        </w:r>
        <w:r>
          <w:rPr>
            <w:noProof/>
          </w:rPr>
          <w:fldChar w:fldCharType="separate"/>
        </w:r>
        <w:r>
          <w:rPr>
            <w:noProof/>
          </w:rPr>
          <w:t>78</w:t>
        </w:r>
        <w:r>
          <w:rPr>
            <w:noProof/>
          </w:rPr>
          <w:fldChar w:fldCharType="end"/>
        </w:r>
      </w:hyperlink>
    </w:p>
    <w:p w14:paraId="0A1B6B05" w14:textId="77777777" w:rsidR="00E33FDE" w:rsidRDefault="00C72D7D">
      <w:pPr>
        <w:pStyle w:val="TDC1"/>
        <w:tabs>
          <w:tab w:val="right" w:leader="dot" w:pos="9394"/>
        </w:tabs>
        <w:rPr>
          <w:noProof/>
        </w:rPr>
      </w:pPr>
      <w:hyperlink w:anchor="_Toc235107981" w:history="1">
        <w:r>
          <w:rPr>
            <w:rStyle w:val="Hipervnculo"/>
            <w:noProof/>
          </w:rPr>
          <w:t>Capítulo 1</w:t>
        </w:r>
        <w:r>
          <w:rPr>
            <w:noProof/>
          </w:rPr>
          <w:tab/>
        </w:r>
        <w:r>
          <w:rPr>
            <w:noProof/>
          </w:rPr>
          <w:fldChar w:fldCharType="begin" w:fldLock="1"/>
        </w:r>
        <w:r>
          <w:rPr>
            <w:noProof/>
          </w:rPr>
          <w:instrText xml:space="preserve"> PAGEREF _Toc235107981 \h </w:instrText>
        </w:r>
        <w:r>
          <w:rPr>
            <w:noProof/>
          </w:rPr>
        </w:r>
        <w:r>
          <w:rPr>
            <w:noProof/>
          </w:rPr>
          <w:fldChar w:fldCharType="separate"/>
        </w:r>
        <w:r>
          <w:rPr>
            <w:noProof/>
          </w:rPr>
          <w:t>78</w:t>
        </w:r>
        <w:r>
          <w:rPr>
            <w:noProof/>
          </w:rPr>
          <w:fldChar w:fldCharType="end"/>
        </w:r>
      </w:hyperlink>
    </w:p>
    <w:p w14:paraId="58E54D7F" w14:textId="77777777" w:rsidR="00E33FDE" w:rsidRDefault="00C72D7D">
      <w:pPr>
        <w:pStyle w:val="TDC2"/>
        <w:tabs>
          <w:tab w:val="right" w:leader="dot" w:pos="9394"/>
        </w:tabs>
        <w:rPr>
          <w:noProof/>
        </w:rPr>
      </w:pPr>
      <w:hyperlink w:anchor="_Toc235107982" w:history="1">
        <w:r>
          <w:rPr>
            <w:rStyle w:val="Hipervnculo"/>
            <w:noProof/>
          </w:rPr>
          <w:t>Caracterización de países</w:t>
        </w:r>
        <w:r>
          <w:rPr>
            <w:noProof/>
          </w:rPr>
          <w:tab/>
        </w:r>
        <w:r>
          <w:rPr>
            <w:noProof/>
          </w:rPr>
          <w:fldChar w:fldCharType="begin" w:fldLock="1"/>
        </w:r>
        <w:r>
          <w:rPr>
            <w:noProof/>
          </w:rPr>
          <w:instrText xml:space="preserve"> PAGEREF _Toc235107982 \h </w:instrText>
        </w:r>
        <w:r>
          <w:rPr>
            <w:noProof/>
          </w:rPr>
        </w:r>
        <w:r>
          <w:rPr>
            <w:noProof/>
          </w:rPr>
          <w:fldChar w:fldCharType="separate"/>
        </w:r>
        <w:r>
          <w:rPr>
            <w:noProof/>
          </w:rPr>
          <w:t>79</w:t>
        </w:r>
        <w:r>
          <w:rPr>
            <w:noProof/>
          </w:rPr>
          <w:fldChar w:fldCharType="end"/>
        </w:r>
      </w:hyperlink>
    </w:p>
    <w:p w14:paraId="6FDAE131" w14:textId="77777777" w:rsidR="00E33FDE" w:rsidRDefault="00C72D7D">
      <w:pPr>
        <w:pStyle w:val="TDC1"/>
        <w:tabs>
          <w:tab w:val="right" w:leader="dot" w:pos="9394"/>
        </w:tabs>
        <w:rPr>
          <w:noProof/>
        </w:rPr>
      </w:pPr>
      <w:hyperlink w:anchor="_Toc235107985" w:history="1">
        <w:r>
          <w:rPr>
            <w:rStyle w:val="Hipervnculo"/>
            <w:noProof/>
          </w:rPr>
          <w:t>Ca</w:t>
        </w:r>
        <w:r>
          <w:rPr>
            <w:rStyle w:val="Hipervnculo"/>
            <w:noProof/>
          </w:rPr>
          <w:t>pítulo 2</w:t>
        </w:r>
        <w:r>
          <w:rPr>
            <w:noProof/>
          </w:rPr>
          <w:tab/>
        </w:r>
        <w:r>
          <w:rPr>
            <w:noProof/>
          </w:rPr>
          <w:fldChar w:fldCharType="begin" w:fldLock="1"/>
        </w:r>
        <w:r>
          <w:rPr>
            <w:noProof/>
          </w:rPr>
          <w:instrText xml:space="preserve"> PAGEREF _Toc235107985 \h </w:instrText>
        </w:r>
        <w:r>
          <w:rPr>
            <w:noProof/>
          </w:rPr>
        </w:r>
        <w:r>
          <w:rPr>
            <w:noProof/>
          </w:rPr>
          <w:fldChar w:fldCharType="separate"/>
        </w:r>
        <w:r>
          <w:rPr>
            <w:noProof/>
          </w:rPr>
          <w:t>83</w:t>
        </w:r>
        <w:r>
          <w:rPr>
            <w:noProof/>
          </w:rPr>
          <w:fldChar w:fldCharType="end"/>
        </w:r>
      </w:hyperlink>
    </w:p>
    <w:p w14:paraId="3AFE0FC2" w14:textId="77777777" w:rsidR="00E33FDE" w:rsidRDefault="00C72D7D">
      <w:pPr>
        <w:pStyle w:val="TDC1"/>
        <w:tabs>
          <w:tab w:val="right" w:leader="dot" w:pos="9394"/>
        </w:tabs>
        <w:rPr>
          <w:noProof/>
        </w:rPr>
      </w:pPr>
      <w:hyperlink w:anchor="_Toc235107986" w:history="1">
        <w:r>
          <w:rPr>
            <w:rStyle w:val="Hipervnculo"/>
            <w:noProof/>
          </w:rPr>
          <w:t>Capítulo 3</w:t>
        </w:r>
        <w:r>
          <w:rPr>
            <w:noProof/>
          </w:rPr>
          <w:tab/>
        </w:r>
        <w:r>
          <w:rPr>
            <w:noProof/>
          </w:rPr>
          <w:fldChar w:fldCharType="begin" w:fldLock="1"/>
        </w:r>
        <w:r>
          <w:rPr>
            <w:noProof/>
          </w:rPr>
          <w:instrText xml:space="preserve"> PAGEREF _Toc235107986 \h </w:instrText>
        </w:r>
        <w:r>
          <w:rPr>
            <w:noProof/>
          </w:rPr>
        </w:r>
        <w:r>
          <w:rPr>
            <w:noProof/>
          </w:rPr>
          <w:fldChar w:fldCharType="separate"/>
        </w:r>
        <w:r>
          <w:rPr>
            <w:noProof/>
          </w:rPr>
          <w:t>84</w:t>
        </w:r>
        <w:r>
          <w:rPr>
            <w:noProof/>
          </w:rPr>
          <w:fldChar w:fldCharType="end"/>
        </w:r>
      </w:hyperlink>
    </w:p>
    <w:p w14:paraId="3FAF622A" w14:textId="77777777" w:rsidR="00E33FDE" w:rsidRDefault="00C72D7D">
      <w:pPr>
        <w:pStyle w:val="TDC1"/>
        <w:tabs>
          <w:tab w:val="right" w:leader="dot" w:pos="9394"/>
        </w:tabs>
        <w:rPr>
          <w:noProof/>
        </w:rPr>
      </w:pPr>
      <w:hyperlink w:anchor="_Toc235107987" w:history="1">
        <w:r>
          <w:rPr>
            <w:rStyle w:val="Hipervnculo"/>
            <w:noProof/>
          </w:rPr>
          <w:t>Referencias</w:t>
        </w:r>
        <w:r>
          <w:rPr>
            <w:noProof/>
          </w:rPr>
          <w:tab/>
        </w:r>
        <w:r>
          <w:rPr>
            <w:noProof/>
          </w:rPr>
          <w:fldChar w:fldCharType="begin" w:fldLock="1"/>
        </w:r>
        <w:r>
          <w:rPr>
            <w:noProof/>
          </w:rPr>
          <w:instrText xml:space="preserve"> PAGEREF _Toc235107987 \h </w:instrText>
        </w:r>
        <w:r>
          <w:rPr>
            <w:noProof/>
          </w:rPr>
        </w:r>
        <w:r>
          <w:rPr>
            <w:noProof/>
          </w:rPr>
          <w:fldChar w:fldCharType="separate"/>
        </w:r>
        <w:r>
          <w:rPr>
            <w:noProof/>
          </w:rPr>
          <w:t>84</w:t>
        </w:r>
        <w:r>
          <w:rPr>
            <w:noProof/>
          </w:rPr>
          <w:fldChar w:fldCharType="end"/>
        </w:r>
      </w:hyperlink>
    </w:p>
    <w:p w14:paraId="4655B32F" w14:textId="77777777" w:rsidR="00E33FDE" w:rsidRDefault="00C72D7D">
      <w:pPr>
        <w:pStyle w:val="TDC1"/>
        <w:tabs>
          <w:tab w:val="right" w:leader="dot" w:pos="9394"/>
        </w:tabs>
        <w:rPr>
          <w:noProof/>
        </w:rPr>
      </w:pPr>
      <w:hyperlink w:anchor="_Toc235107988" w:history="1">
        <w:r>
          <w:rPr>
            <w:rStyle w:val="Hipervnculo"/>
            <w:noProof/>
          </w:rPr>
          <w:t>Anexos</w:t>
        </w:r>
        <w:r>
          <w:rPr>
            <w:noProof/>
          </w:rPr>
          <w:tab/>
        </w:r>
        <w:r>
          <w:rPr>
            <w:noProof/>
          </w:rPr>
          <w:fldChar w:fldCharType="begin" w:fldLock="1"/>
        </w:r>
        <w:r>
          <w:rPr>
            <w:noProof/>
          </w:rPr>
          <w:instrText xml:space="preserve"> PAGEREF _Toc235107988 \h </w:instrText>
        </w:r>
        <w:r>
          <w:rPr>
            <w:noProof/>
          </w:rPr>
        </w:r>
        <w:r>
          <w:rPr>
            <w:noProof/>
          </w:rPr>
          <w:fldChar w:fldCharType="separate"/>
        </w:r>
        <w:r>
          <w:rPr>
            <w:noProof/>
          </w:rPr>
          <w:t>88</w:t>
        </w:r>
        <w:r>
          <w:rPr>
            <w:noProof/>
          </w:rPr>
          <w:fldChar w:fldCharType="end"/>
        </w:r>
      </w:hyperlink>
    </w:p>
    <w:p w14:paraId="60C7E851" w14:textId="77777777" w:rsidR="004D6A67" w:rsidRDefault="004D6A67" w:rsidP="00CD0C90">
      <w:pPr>
        <w:jc w:val="center"/>
        <w:rPr>
          <w:rFonts w:asciiTheme="majorHAnsi" w:hAnsiTheme="majorHAnsi" w:cstheme="majorHAnsi"/>
          <w:b/>
          <w:bCs/>
          <w:color w:val="D49E21"/>
          <w:sz w:val="96"/>
          <w:szCs w:val="96"/>
        </w:rPr>
      </w:pPr>
    </w:p>
    <w:p w14:paraId="702847E2" w14:textId="77777777" w:rsidR="004D6A67" w:rsidRDefault="004D6A67" w:rsidP="00CD0C90">
      <w:pPr>
        <w:jc w:val="center"/>
        <w:rPr>
          <w:rFonts w:asciiTheme="majorHAnsi" w:hAnsiTheme="majorHAnsi" w:cstheme="majorHAnsi"/>
          <w:b/>
          <w:bCs/>
          <w:color w:val="D49E21"/>
          <w:sz w:val="96"/>
          <w:szCs w:val="96"/>
        </w:rPr>
      </w:pPr>
    </w:p>
    <w:p w14:paraId="545AAED9" w14:textId="77777777" w:rsidR="004D6A67" w:rsidRPr="00F24A71" w:rsidRDefault="004D6A67" w:rsidP="00CD0C90">
      <w:pPr>
        <w:jc w:val="center"/>
        <w:rPr>
          <w:rFonts w:asciiTheme="majorHAnsi" w:hAnsiTheme="majorHAnsi" w:cstheme="majorHAnsi"/>
          <w:b/>
          <w:bCs/>
          <w:color w:val="D49E21"/>
          <w:sz w:val="96"/>
          <w:szCs w:val="96"/>
        </w:rPr>
      </w:pPr>
    </w:p>
    <w:p w14:paraId="35F29D83" w14:textId="77777777" w:rsidR="00CD660F" w:rsidRPr="00985B97" w:rsidRDefault="00CD660F" w:rsidP="00A86834">
      <w:pPr>
        <w:pStyle w:val="Ttulo1"/>
        <w:rPr>
          <w:lang w:val="es-ES"/>
        </w:rPr>
      </w:pPr>
      <w:bookmarkStart w:id="101" w:name="_Toc235107976"/>
      <w:r w:rsidRPr="00985B97">
        <w:rPr>
          <w:lang w:val="es-ES"/>
        </w:rPr>
        <w:lastRenderedPageBreak/>
        <w:t>I. Introducción</w:t>
      </w:r>
      <w:bookmarkEnd w:id="101"/>
    </w:p>
    <w:p w14:paraId="37918CE6" w14:textId="77777777" w:rsidR="00CD660F" w:rsidRPr="00985B97" w:rsidRDefault="00CD660F" w:rsidP="00985B97">
      <w:pPr>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t>La transición energética justa (TEJ) en Colombia se ha consolidado como un eje central de política pública, impulsado por normas como la Ley 2099 de 2021 y los CONPES 4075 de 2022, 4129 de 2023 sobre transición energética y reindustrialización, que articulan la política energética nacional y buscan reducir emisiones de gases de efecto invernadero mientras se fortalece la seguridad y competitividad del sector minero energético. Sin embargo, la implementación de estas directrices enfrenta limitaciones en la articulación entre el Ejecutivo, representado por el Ministerio de Minas y Energía, y los grupos de interés y valor para la TEJ.</w:t>
      </w:r>
    </w:p>
    <w:p w14:paraId="65D71304" w14:textId="77777777" w:rsidR="00CD660F" w:rsidRPr="00985B97" w:rsidRDefault="00CD660F" w:rsidP="00985B97">
      <w:pPr>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t>A pesar de avances en marcos normativos y hojas de ruta, persisten vacíos en el análisis estratégico, se requieren para la consolidación de la TEJ, es fundamental que se implementen transformaciones en la entidad, mediante el fortalecimiento institucional, que contribuyan a mejorar el vínculo «Estado-Ciudadanía», es así como responder de manera oportuna a las problemáticas sociales del sector.</w:t>
      </w:r>
    </w:p>
    <w:p w14:paraId="07017AE4" w14:textId="77777777" w:rsidR="00CD660F" w:rsidRPr="00985B97" w:rsidRDefault="00CD660F" w:rsidP="00985B97">
      <w:pPr>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t>En este contexto, si bien la problemática central de este proyecto es la debilidad en el análisis estratégico sectorial y legislativo para impulsar la transición energética justa, esta investigación se centrará en comprender de qué manera el sector, teniendo en cuenta los principales resultados del documento Diagnóstico sectorial y legislativo del Ministerio de Minas y Energía en el marco de la Transición Energética Justa, podría fortalecer la institucionalidad y la capacidad de respuesta oportuna a problemáticas sociales en el subsector de energía eléctrica.</w:t>
      </w:r>
    </w:p>
    <w:p w14:paraId="5ED428A9" w14:textId="77777777" w:rsidR="00CD660F" w:rsidRPr="00985B97" w:rsidRDefault="00CD660F" w:rsidP="00985B97">
      <w:pPr>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t>La vulnerabilidad social y ecológica es un criterio que orienta la TEJ. El país necesita garantizar que el sistema eléctrico sea climáticamente resiliente —capaz de afrontar y reponerse ante eventos climáticos extremos, como el fenómeno de El Niño que tiene efectos cada vez más agudos— y a la vez social y ambientalmente sostenible —que los efectos</w:t>
      </w:r>
    </w:p>
    <w:p w14:paraId="0C28BF34" w14:textId="77777777" w:rsidR="00CD660F" w:rsidRPr="00985B97" w:rsidRDefault="00CD660F" w:rsidP="00985B97">
      <w:pPr>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t>negativos de la crisis climática no recaigan en las poblaciones más vulnerables y que no ocasionen daños profundos e irreversibles a la biodiversidad y el medioambiente—. Esto implica diversificar las fuentes de generación, a través del cierre de las brechas de la dependencia que tiene la matriz energética sobre las fuentes de generación hidroeléctrica, altamente vulnerables a las sequías, y las fuentes dependientes de los combustibles fósiles, que impactan negativamente sobre el medio ambiente.</w:t>
      </w:r>
    </w:p>
    <w:p w14:paraId="123BDF46" w14:textId="77777777" w:rsidR="00CD660F" w:rsidRPr="00985B97" w:rsidRDefault="00CD660F" w:rsidP="00985B97">
      <w:pPr>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lastRenderedPageBreak/>
        <w:t>La TEJ empezó a implementarse en Colombia con distintas transformaciones en la arquitectura institucional del sector, como la promoción de cambios legales y un número importante de inversiones en energías renovables. No obstante, esto debe profundizar en las próximas décadas. Es necesario reemplazar gradualmente la generación fósil por fuentes renovables que reduzcan la huella de carbono y la exposición a riesgos climáticos. También, en clave de justicia social, estos procesos deben integrar a las comunidades que puedan verse afectadas, por ejemplo, mediante diálogos participativos con las comunidades y la diversificación productiva en las regiones con vocaciones productivas fósiles o, en relación con las políticas de cierre de las plantas térmicas, se debe acompañar a las comunidades en el fortalecimiento de alternativas laborales dignas; sólo de esta manera podrá garantizarse una TEJ que no reproduzca ni cree nuevas inequidades territoriales</w:t>
      </w:r>
    </w:p>
    <w:p w14:paraId="1DF12872" w14:textId="77777777" w:rsidR="00CD660F" w:rsidRPr="00985B97" w:rsidRDefault="00CD660F" w:rsidP="00985B97">
      <w:pPr>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t>Por ello, la pregunta que guía este documento es: ¿Qué estrategias permitirían fortalecer la capacidad institucional y el relacionamiento con la ciudadanía para acelerar el desarrollo de la Política de Transición Energética Justa en el subsector de energía eléctrica? Se ha definido como objetivo de este documento identificar estrategias institucionales que fortalezcan la relación entre Estado y ciudadanía y contribuyan a acelerar la formulación de la Política de Transición Energética Justa. Para esto es necesario: 1. contrastar la estructura institucional, políticas públicas y políticas fiscales nacionales con casos de otros países en materia de Transición Energética Justa en el subsector de energía eléctrica; 2. identificar imaginarios,</w:t>
      </w:r>
    </w:p>
    <w:p w14:paraId="47A950BD" w14:textId="77777777" w:rsidR="00993DFA" w:rsidRPr="00985B97" w:rsidRDefault="00CD660F" w:rsidP="00985B97">
      <w:pPr>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t>percepciones, políticas, prácticas, barreras y prioridades para la implementación de la Transición Energética Justa en Colombia consideradas por actores de interés del subsector de energía eléctrica y 3. proponer una síntesis de estrategias institucionales para acelerar la implementación de la Transición Energética Justa y mejorar la relación Estado-Ciudadanía.</w:t>
      </w:r>
    </w:p>
    <w:p w14:paraId="458B4CC2" w14:textId="77777777" w:rsidR="00993DFA" w:rsidRPr="00985B97" w:rsidRDefault="00993DFA" w:rsidP="00A86834">
      <w:pPr>
        <w:pStyle w:val="Ttulo1"/>
      </w:pPr>
      <w:bookmarkStart w:id="102" w:name="_Toc235107977"/>
      <w:r w:rsidRPr="00985B97">
        <w:t>Marco teórico</w:t>
      </w:r>
      <w:bookmarkEnd w:id="102"/>
    </w:p>
    <w:p w14:paraId="0C0C901D" w14:textId="77777777" w:rsidR="00993DFA" w:rsidRPr="00985B97" w:rsidRDefault="00993DFA" w:rsidP="00985B97">
      <w:pPr>
        <w:jc w:val="both"/>
        <w:rPr>
          <w:lang w:val="es-ES"/>
        </w:rPr>
      </w:pPr>
      <w:r w:rsidRPr="00985B97">
        <w:rPr>
          <w:lang w:val="es-ES"/>
        </w:rPr>
        <w:t xml:space="preserve">La energía es un elemento fundamental para la vida. En diferentes contextos, la vida misma se frenaría sin energía; en otros, su ausencia e intermitencia forma parte de la cotidianidad y condiciona las experiencias de vida humana. Como afirma </w:t>
      </w:r>
      <w:proofErr w:type="spellStart"/>
      <w:r w:rsidRPr="00985B97">
        <w:rPr>
          <w:lang w:val="es-ES"/>
        </w:rPr>
        <w:t>Sieferle</w:t>
      </w:r>
      <w:proofErr w:type="spellEnd"/>
      <w:r w:rsidRPr="00985B97">
        <w:rPr>
          <w:lang w:val="es-ES"/>
        </w:rPr>
        <w:t xml:space="preserve"> (2001) «es la energía la que impulsa todos los procesos materiales» (p. </w:t>
      </w:r>
      <w:proofErr w:type="spellStart"/>
      <w:r w:rsidRPr="00985B97">
        <w:rPr>
          <w:lang w:val="es-ES"/>
        </w:rPr>
        <w:t>viii</w:t>
      </w:r>
      <w:proofErr w:type="spellEnd"/>
      <w:r w:rsidRPr="00985B97">
        <w:rPr>
          <w:lang w:val="es-ES"/>
        </w:rPr>
        <w:t xml:space="preserve">). Esta afirmación cobra todo el sentido al proponer que la energía designa más que solo la </w:t>
      </w:r>
      <w:r w:rsidRPr="00985B97">
        <w:rPr>
          <w:lang w:val="es-ES"/>
        </w:rPr>
        <w:lastRenderedPageBreak/>
        <w:t>electricidad, el consumo de gas natural, el combustible o el carbón. Designa un concepto más abstracto: la energía es un elemento fundamental para que las sociedades puedan existir.</w:t>
      </w:r>
    </w:p>
    <w:p w14:paraId="59014FA6" w14:textId="77777777" w:rsidR="00993DFA" w:rsidRPr="00985B97" w:rsidRDefault="00993DFA" w:rsidP="00985B97">
      <w:pPr>
        <w:jc w:val="both"/>
        <w:rPr>
          <w:lang w:val="es-ES"/>
        </w:rPr>
      </w:pPr>
      <w:r w:rsidRPr="00985B97">
        <w:rPr>
          <w:lang w:val="es-ES"/>
        </w:rPr>
        <w:t>Según la Organización Internacional del Trabajo (OIT), el trabajo se define como «todas las actividades realizadas por personas de cualquier sexo y edad con el fin de producir bienes o prestar servicios para el consumo de terceros o para uso final propio» (OIT, 2023, p.3). El trabajo también se ha entendido como un factor de producción; es decir, como recurso que se usa para la producción de bienes, junto al capital y la tierra (Astudillo, 2012) o como un proceso entre la naturaleza y el ser humano en el que este moldea la primera y a su vez despliega las potencialidades que dormitan en su propio ser (Marx, 1995). Bajo esta última perspectiva, el trabajo transforma el mundo material y, al mismo tiempo, constituye al trabajador.</w:t>
      </w:r>
    </w:p>
    <w:p w14:paraId="2259661A" w14:textId="77777777" w:rsidR="00993DFA" w:rsidRPr="00985B97" w:rsidRDefault="00993DFA" w:rsidP="00985B97">
      <w:pPr>
        <w:jc w:val="both"/>
        <w:rPr>
          <w:lang w:val="es-ES"/>
        </w:rPr>
      </w:pPr>
      <w:r w:rsidRPr="00985B97">
        <w:rPr>
          <w:lang w:val="es-ES"/>
        </w:rPr>
        <w:t xml:space="preserve">Otras posturas que coinciden, pero discuten con los argumentos de las perspectivas previas, señalan que el trabajo no debe entenderse como una relación jurídica y contractual cuya forma de organización típica debe darse bajo la relación salarial (Misas, 2019). En cambio, plantean que es un conjunto de prácticas situadas —frecuentemente precarizadas y desprotegidas en formas sociales específicas de organización del trabajo— que sostienen la reproducción social y la vida, y que garantizan la circulación de bienes y servicios en lugares específicos (Giraldo, 2022). </w:t>
      </w:r>
    </w:p>
    <w:p w14:paraId="5AAEC245" w14:textId="77777777" w:rsidR="00993DFA" w:rsidRPr="00985B97" w:rsidRDefault="00993DFA" w:rsidP="00985B97">
      <w:pPr>
        <w:jc w:val="both"/>
        <w:rPr>
          <w:lang w:val="es-ES"/>
        </w:rPr>
      </w:pPr>
      <w:r w:rsidRPr="00985B97">
        <w:rPr>
          <w:lang w:val="es-ES"/>
        </w:rPr>
        <w:t>También, desde enfoques que han dialogado con las teorías feministas, como la teoría de la reproducción social, se retoma el concepto de «fuerza de trabajo». Se afirma que esta fuerza no se produce únicamente en la fábrica, sino principalmente en los hogares y en las comunidades mediante actividades de cuidado, el mantenimiento físico y el apoyo cotidiano que, en gran medida, realizan las mujeres y otros grupos oprimidos. Bajo esta perspectiva, el trabajo no se limita a la producción mercantil, sino que incluye labores a menudo no remuneradas o invisibilizadas (</w:t>
      </w:r>
      <w:proofErr w:type="spellStart"/>
      <w:r w:rsidRPr="00985B97">
        <w:rPr>
          <w:lang w:val="es-ES"/>
        </w:rPr>
        <w:t>Bhattacharya</w:t>
      </w:r>
      <w:proofErr w:type="spellEnd"/>
      <w:r w:rsidRPr="00985B97">
        <w:rPr>
          <w:lang w:val="es-ES"/>
        </w:rPr>
        <w:t>, 2018). Sin embargo, el trabajo también se entiende de una forma física, en conexión con lo que en física se entiende por «energía».</w:t>
      </w:r>
    </w:p>
    <w:p w14:paraId="7D5FAE33" w14:textId="77777777" w:rsidR="00993DFA" w:rsidRPr="00985B97" w:rsidRDefault="00993DFA" w:rsidP="00985B97">
      <w:pPr>
        <w:jc w:val="both"/>
        <w:rPr>
          <w:lang w:val="es-ES"/>
        </w:rPr>
      </w:pPr>
      <w:r w:rsidRPr="00985B97">
        <w:rPr>
          <w:lang w:val="es-ES"/>
        </w:rPr>
        <w:t>El vínculo entre trabajo y energía permite articular las discusiones anteriores en relación con el metabolismo social. Puede leerse como un conjunto de procesos en los que distintos flujos de energía son socialmente organizados mediante el trabajo; ello, en consecuencia, implica que toda forma histórica de organización del trabajo supone formas históricas específicas de organización de la energía (</w:t>
      </w:r>
      <w:proofErr w:type="spellStart"/>
      <w:r w:rsidRPr="00985B97">
        <w:rPr>
          <w:lang w:val="es-ES"/>
        </w:rPr>
        <w:t>Diamanti</w:t>
      </w:r>
      <w:proofErr w:type="spellEnd"/>
      <w:r w:rsidRPr="00985B97">
        <w:rPr>
          <w:lang w:val="es-ES"/>
        </w:rPr>
        <w:t xml:space="preserve"> y Foster, 2018; </w:t>
      </w:r>
      <w:proofErr w:type="spellStart"/>
      <w:r w:rsidRPr="00985B97">
        <w:rPr>
          <w:lang w:val="es-ES"/>
        </w:rPr>
        <w:t>Malm</w:t>
      </w:r>
      <w:proofErr w:type="spellEnd"/>
      <w:r w:rsidRPr="00985B97">
        <w:rPr>
          <w:lang w:val="es-ES"/>
        </w:rPr>
        <w:t xml:space="preserve">, 2020). En el marco de las discusiones sobre la consolidación de la economía fósil, por </w:t>
      </w:r>
      <w:r w:rsidRPr="00985B97">
        <w:rPr>
          <w:lang w:val="es-ES"/>
        </w:rPr>
        <w:lastRenderedPageBreak/>
        <w:t xml:space="preserve">ejemplo, </w:t>
      </w:r>
      <w:proofErr w:type="spellStart"/>
      <w:r w:rsidRPr="00985B97">
        <w:rPr>
          <w:lang w:val="es-ES"/>
        </w:rPr>
        <w:t>Malm</w:t>
      </w:r>
      <w:proofErr w:type="spellEnd"/>
      <w:r w:rsidRPr="00985B97">
        <w:rPr>
          <w:lang w:val="es-ES"/>
        </w:rPr>
        <w:t xml:space="preserve"> (2020) ha sido categórico al señalar que «no hay un trozo de carbón ni una gota de petróleo que se hayan convertido por sí solos en combustible» pues este requiere «trabajo asalariado o forzado… como condiciones necesarias para existir» (p.37). Esto permite comprender que actividades como la extracción, el transporte y la combustión de carbón, petróleo o gas —o actualmente el desarrollo de infraestructura de energías bajas en carbono— implican formas concretas de organización de la fuerza de trabajo por el capital y de la intervención sobre la naturaleza.</w:t>
      </w:r>
    </w:p>
    <w:p w14:paraId="5AAAD243" w14:textId="77777777" w:rsidR="00993DFA" w:rsidRPr="00985B97" w:rsidRDefault="00993DFA" w:rsidP="00985B97">
      <w:pPr>
        <w:jc w:val="both"/>
        <w:rPr>
          <w:lang w:val="es-ES"/>
        </w:rPr>
      </w:pPr>
      <w:r w:rsidRPr="00985B97">
        <w:rPr>
          <w:lang w:val="es-ES"/>
        </w:rPr>
        <w:t xml:space="preserve">Las formas de organización social para apropiarse del medio y transformarlo implican el surgimiento y consolidación de instituciones políticas y sociales. En relación con la energía se han hecho diferentes delimitaciones. Por ejemplo, Marañón (2025) recupera la caracterización de tres grandes regímenes </w:t>
      </w:r>
      <w:proofErr w:type="spellStart"/>
      <w:r w:rsidRPr="00985B97">
        <w:rPr>
          <w:lang w:val="es-ES"/>
        </w:rPr>
        <w:t>sociometabólicos</w:t>
      </w:r>
      <w:proofErr w:type="spellEnd"/>
      <w:r w:rsidRPr="00985B97">
        <w:rPr>
          <w:lang w:val="es-ES"/>
        </w:rPr>
        <w:t xml:space="preserve"> en los que se encuentra el </w:t>
      </w:r>
      <w:r w:rsidRPr="00985B97">
        <w:rPr>
          <w:i/>
          <w:lang w:val="es-ES"/>
        </w:rPr>
        <w:t>metabolismo extractivo</w:t>
      </w:r>
      <w:r w:rsidRPr="00985B97">
        <w:rPr>
          <w:lang w:val="es-ES"/>
        </w:rPr>
        <w:t xml:space="preserve">, el </w:t>
      </w:r>
      <w:r w:rsidRPr="00985B97">
        <w:rPr>
          <w:i/>
          <w:lang w:val="es-ES"/>
        </w:rPr>
        <w:t>metabolismo orgánico</w:t>
      </w:r>
      <w:r w:rsidRPr="00985B97">
        <w:rPr>
          <w:lang w:val="es-ES"/>
        </w:rPr>
        <w:t xml:space="preserve"> y el </w:t>
      </w:r>
      <w:r w:rsidRPr="00985B97">
        <w:rPr>
          <w:i/>
          <w:lang w:val="es-ES"/>
        </w:rPr>
        <w:t>metabolismo industrial</w:t>
      </w:r>
      <w:r w:rsidRPr="00985B97">
        <w:rPr>
          <w:lang w:val="es-ES"/>
        </w:rPr>
        <w:t xml:space="preserve">. En una línea similar, </w:t>
      </w:r>
      <w:proofErr w:type="spellStart"/>
      <w:r w:rsidRPr="00985B97">
        <w:rPr>
          <w:lang w:val="es-ES"/>
        </w:rPr>
        <w:t>Sieferle</w:t>
      </w:r>
      <w:proofErr w:type="spellEnd"/>
      <w:r w:rsidRPr="00985B97">
        <w:rPr>
          <w:lang w:val="es-ES"/>
        </w:rPr>
        <w:t xml:space="preserve"> (2001) y Marquardt (2018) aportan una teoría de regímenes políticos a partir de regímenes metabólicos en la que señalan que las formas de organizaciones sociales preestatales y estatales históricamente han tenido sistemas de energía y sistemas políticos con diferentes grados de complejidad.</w:t>
      </w:r>
    </w:p>
    <w:p w14:paraId="6651385E" w14:textId="77777777" w:rsidR="00993DFA" w:rsidRPr="00985B97" w:rsidRDefault="00993DFA" w:rsidP="00985B97">
      <w:pPr>
        <w:jc w:val="both"/>
        <w:rPr>
          <w:lang w:val="es-ES"/>
        </w:rPr>
      </w:pPr>
      <w:r w:rsidRPr="00985B97">
        <w:rPr>
          <w:lang w:val="es-ES"/>
        </w:rPr>
        <w:t xml:space="preserve">En Colombia, la consolidación de distintos regímenes de acumulación ha implicado la configuración de complejos arreglos institucionales; es decir, de diversas normas, organizaciones, mecanismos de política pública y formas de Estado (Misas, 2019; Brenner y </w:t>
      </w:r>
      <w:proofErr w:type="spellStart"/>
      <w:r w:rsidRPr="00985B97">
        <w:rPr>
          <w:lang w:val="es-ES"/>
        </w:rPr>
        <w:t>Glick</w:t>
      </w:r>
      <w:proofErr w:type="spellEnd"/>
      <w:r w:rsidRPr="00985B97">
        <w:rPr>
          <w:lang w:val="es-ES"/>
        </w:rPr>
        <w:t xml:space="preserve">, 1991) que han coexistido en regímenes de exportación primaria, de industrialización y de </w:t>
      </w:r>
      <w:proofErr w:type="spellStart"/>
      <w:r w:rsidRPr="00985B97">
        <w:rPr>
          <w:lang w:val="es-ES"/>
        </w:rPr>
        <w:t>neoliberalización</w:t>
      </w:r>
      <w:proofErr w:type="spellEnd"/>
      <w:r w:rsidRPr="00985B97">
        <w:rPr>
          <w:lang w:val="es-ES"/>
        </w:rPr>
        <w:t>. Esto ha permitido que se consoliden formas de acumulación basadas en el despojo de rentas y la apropiación de bienes comunes por parte de distintos agentes, algunos pertenecientes al sector minero-energético. Los análisis de las formas institucionales desde esta perspectiva han puesto en el centro los conflictos sociales, las tensiones de la distribución de la riqueza, las contradicciones del capitalismo y las desiguales correlaciones de fuerza entre los grupos y clases sociales.</w:t>
      </w:r>
    </w:p>
    <w:p w14:paraId="54EC5ACB" w14:textId="77777777" w:rsidR="00993DFA" w:rsidRPr="00985B97" w:rsidRDefault="00993DFA" w:rsidP="00985B97">
      <w:pPr>
        <w:jc w:val="both"/>
        <w:rPr>
          <w:lang w:val="es-ES"/>
        </w:rPr>
      </w:pPr>
      <w:r w:rsidRPr="00985B97">
        <w:rPr>
          <w:lang w:val="es-ES"/>
        </w:rPr>
        <w:t>La categoría de «arquitectura institucional» se ha utilizado para comprender la manera en la que se organizan y articulan, en distintos niveles, las reglas, organizaciones y relaciones que configuran las competencias y formas de intervención del Estado (</w:t>
      </w:r>
      <w:proofErr w:type="spellStart"/>
      <w:r w:rsidRPr="00985B97">
        <w:rPr>
          <w:lang w:val="es-ES"/>
        </w:rPr>
        <w:t>Jessop</w:t>
      </w:r>
      <w:proofErr w:type="spellEnd"/>
      <w:r w:rsidRPr="00985B97">
        <w:rPr>
          <w:lang w:val="es-ES"/>
        </w:rPr>
        <w:t>, 2021). En las discusiones sobre la gobernanza global se ha entendido esta categoría como el conjunto de organizaciones e instrumentos que dan forma a los mecanismos de gobierno a escala global (</w:t>
      </w:r>
      <w:proofErr w:type="spellStart"/>
      <w:r w:rsidRPr="00985B97">
        <w:rPr>
          <w:lang w:val="es-ES"/>
        </w:rPr>
        <w:t>Biermann</w:t>
      </w:r>
      <w:proofErr w:type="spellEnd"/>
      <w:r w:rsidRPr="00985B97">
        <w:rPr>
          <w:lang w:val="es-ES"/>
        </w:rPr>
        <w:t xml:space="preserve"> et al., 2009; </w:t>
      </w:r>
      <w:proofErr w:type="spellStart"/>
      <w:r w:rsidRPr="00985B97">
        <w:rPr>
          <w:lang w:val="es-ES"/>
        </w:rPr>
        <w:t>Biermann</w:t>
      </w:r>
      <w:proofErr w:type="spellEnd"/>
      <w:r w:rsidRPr="00985B97">
        <w:rPr>
          <w:lang w:val="es-ES"/>
        </w:rPr>
        <w:t xml:space="preserve"> &amp; Kim, 2020). Desde otras </w:t>
      </w:r>
      <w:r w:rsidRPr="00985B97">
        <w:rPr>
          <w:lang w:val="es-ES"/>
        </w:rPr>
        <w:lastRenderedPageBreak/>
        <w:t xml:space="preserve">perspectivas, el concepto se ha enfocado en el conjunto de marcos legales y políticas que sirven para mediar las relaciones entre el Estado y la sociedad civil (Teixeira et al., 2012; </w:t>
      </w:r>
      <w:proofErr w:type="spellStart"/>
      <w:r w:rsidRPr="00985B97">
        <w:rPr>
          <w:lang w:val="es-ES"/>
        </w:rPr>
        <w:t>Mendonça</w:t>
      </w:r>
      <w:proofErr w:type="spellEnd"/>
      <w:r w:rsidRPr="00985B97">
        <w:rPr>
          <w:lang w:val="es-ES"/>
        </w:rPr>
        <w:t xml:space="preserve"> et al., 2013). </w:t>
      </w:r>
    </w:p>
    <w:p w14:paraId="0A640620" w14:textId="77777777" w:rsidR="00993DFA" w:rsidRPr="00985B97" w:rsidRDefault="00993DFA" w:rsidP="00985B97">
      <w:pPr>
        <w:jc w:val="both"/>
        <w:rPr>
          <w:lang w:val="es-ES"/>
        </w:rPr>
      </w:pPr>
      <w:r w:rsidRPr="00985B97">
        <w:rPr>
          <w:lang w:val="es-ES"/>
        </w:rPr>
        <w:t>Estas discusiones sobre «arquitectura institucional» en el Estado, las formas de gobernanza y los arreglos de participación con la sociedad civil se toman como referencia. A partir de ellas, se entenderá por «arquitectura institucional» al conjunto de normas, instituciones y prácticas que se han estructurado históricamente para definir y orientar la toma de decisiones operativas y estratégicas, la distribución de recursos y las formas de participación del sector (</w:t>
      </w:r>
      <w:proofErr w:type="spellStart"/>
      <w:r w:rsidRPr="00985B97">
        <w:rPr>
          <w:lang w:val="es-ES"/>
        </w:rPr>
        <w:t>Biermann</w:t>
      </w:r>
      <w:proofErr w:type="spellEnd"/>
      <w:r w:rsidRPr="00985B97">
        <w:rPr>
          <w:lang w:val="es-ES"/>
        </w:rPr>
        <w:t xml:space="preserve"> &amp; Kim, 2020; Teixeira et al., 2012). Para el caso del sector minero-energético, esta aproximación rescata los mecanismos de organización internos del Estado, los entramados y disputas por la gobernanza existentes entre diferentes agentes y los mecanismos que se instituyen para mediar el conflicto entre empresas y comunidades. Así, esta aproximación parte de un marco conceptual relacional que indaga por quién define las políticas, bajo qué reglas se explotan los recursos y cómo se distribuyen los costos beneficios de las actividades minero-energéticas (</w:t>
      </w:r>
      <w:proofErr w:type="spellStart"/>
      <w:r w:rsidRPr="00985B97">
        <w:rPr>
          <w:lang w:val="es-ES"/>
        </w:rPr>
        <w:t>Jessop</w:t>
      </w:r>
      <w:proofErr w:type="spellEnd"/>
      <w:r w:rsidRPr="00985B97">
        <w:rPr>
          <w:lang w:val="es-ES"/>
        </w:rPr>
        <w:t xml:space="preserve">, 2021; </w:t>
      </w:r>
      <w:proofErr w:type="spellStart"/>
      <w:r w:rsidRPr="00985B97">
        <w:rPr>
          <w:lang w:val="es-ES"/>
        </w:rPr>
        <w:t>Mendonça</w:t>
      </w:r>
      <w:proofErr w:type="spellEnd"/>
      <w:r w:rsidRPr="00985B97">
        <w:rPr>
          <w:lang w:val="es-ES"/>
        </w:rPr>
        <w:t xml:space="preserve"> et al., 2013; </w:t>
      </w:r>
      <w:proofErr w:type="spellStart"/>
      <w:r w:rsidRPr="00985B97">
        <w:rPr>
          <w:lang w:val="es-ES"/>
        </w:rPr>
        <w:t>Malm</w:t>
      </w:r>
      <w:proofErr w:type="spellEnd"/>
      <w:r w:rsidRPr="00985B97">
        <w:rPr>
          <w:lang w:val="es-ES"/>
        </w:rPr>
        <w:t>, 2019).</w:t>
      </w:r>
    </w:p>
    <w:p w14:paraId="3A4BAE13" w14:textId="77777777" w:rsidR="00993DFA" w:rsidRPr="00985B97" w:rsidRDefault="00993DFA" w:rsidP="00985B97">
      <w:pPr>
        <w:jc w:val="both"/>
        <w:rPr>
          <w:lang w:val="es-ES"/>
        </w:rPr>
      </w:pPr>
      <w:r w:rsidRPr="00985B97">
        <w:rPr>
          <w:lang w:val="es-ES"/>
        </w:rPr>
        <w:t xml:space="preserve">Esta aproximación pone en el centro tres dimensiones. En primer lugar, las </w:t>
      </w:r>
      <w:r w:rsidRPr="00985B97">
        <w:rPr>
          <w:i/>
          <w:lang w:val="es-ES"/>
        </w:rPr>
        <w:t>normas</w:t>
      </w:r>
      <w:r w:rsidRPr="00985B97">
        <w:rPr>
          <w:lang w:val="es-ES"/>
        </w:rPr>
        <w:t>, que se entienden como leyes, decretos o acuerdos —formales o informales— que orientan las acciones de distintos agentes del sector y que definen formas concretas de regulación de las actividades y agentes de un sector (</w:t>
      </w:r>
      <w:proofErr w:type="spellStart"/>
      <w:r w:rsidRPr="00985B97">
        <w:rPr>
          <w:lang w:val="es-ES"/>
        </w:rPr>
        <w:t>Jessop</w:t>
      </w:r>
      <w:proofErr w:type="spellEnd"/>
      <w:r w:rsidRPr="00985B97">
        <w:rPr>
          <w:lang w:val="es-ES"/>
        </w:rPr>
        <w:t xml:space="preserve">, 2021; Misas, 2019; </w:t>
      </w:r>
      <w:proofErr w:type="spellStart"/>
      <w:r w:rsidRPr="00985B97">
        <w:rPr>
          <w:lang w:val="es-ES"/>
        </w:rPr>
        <w:t>Biermann</w:t>
      </w:r>
      <w:proofErr w:type="spellEnd"/>
      <w:r w:rsidRPr="00985B97">
        <w:rPr>
          <w:lang w:val="es-ES"/>
        </w:rPr>
        <w:t xml:space="preserve"> et al., 2009). En segundo lugar, las </w:t>
      </w:r>
      <w:r w:rsidRPr="00985B97">
        <w:rPr>
          <w:i/>
          <w:lang w:val="es-ES"/>
        </w:rPr>
        <w:t>instituciones</w:t>
      </w:r>
      <w:r w:rsidRPr="00985B97">
        <w:rPr>
          <w:lang w:val="es-ES"/>
        </w:rPr>
        <w:t>, que hacen referencia tanto a las creencias y a los valores —anclados en diversas ocasiones en las políticas de la economía fósil—, como a las organizaciones del Estado o aquellas que están por fuera de él (</w:t>
      </w:r>
      <w:proofErr w:type="spellStart"/>
      <w:r w:rsidRPr="00985B97">
        <w:rPr>
          <w:lang w:val="es-ES"/>
        </w:rPr>
        <w:t>Malm</w:t>
      </w:r>
      <w:proofErr w:type="spellEnd"/>
      <w:r w:rsidRPr="00985B97">
        <w:rPr>
          <w:lang w:val="es-ES"/>
        </w:rPr>
        <w:t xml:space="preserve">, 2019; Teixeira et al., 2012; </w:t>
      </w:r>
      <w:proofErr w:type="spellStart"/>
      <w:r w:rsidRPr="00985B97">
        <w:rPr>
          <w:lang w:val="es-ES"/>
        </w:rPr>
        <w:t>Jessop</w:t>
      </w:r>
      <w:proofErr w:type="spellEnd"/>
      <w:r w:rsidRPr="00985B97">
        <w:rPr>
          <w:lang w:val="es-ES"/>
        </w:rPr>
        <w:t xml:space="preserve">, 2021). En tercer lugar, las </w:t>
      </w:r>
      <w:r w:rsidRPr="00985B97">
        <w:rPr>
          <w:i/>
          <w:lang w:val="es-ES"/>
        </w:rPr>
        <w:t>prácticas</w:t>
      </w:r>
      <w:r w:rsidRPr="00985B97">
        <w:rPr>
          <w:lang w:val="es-ES"/>
        </w:rPr>
        <w:t>, entendidas como aquellas formas de conducta e interacción que, atravesadas por relaciones de género y clase, se expresan en modos específicos de ejercicio y disputa por el poder, cooptación, captura, resistencias, agresiones, violencia y exclusión (</w:t>
      </w:r>
      <w:proofErr w:type="spellStart"/>
      <w:r w:rsidRPr="00985B97">
        <w:rPr>
          <w:lang w:val="es-ES"/>
        </w:rPr>
        <w:t>Lopreite</w:t>
      </w:r>
      <w:proofErr w:type="spellEnd"/>
      <w:r w:rsidRPr="00985B97">
        <w:rPr>
          <w:lang w:val="es-ES"/>
        </w:rPr>
        <w:t xml:space="preserve"> y Rodríguez, 2021; Muñiz, 2024; Ariztía, 2017).  </w:t>
      </w:r>
    </w:p>
    <w:p w14:paraId="0461EE71" w14:textId="77777777" w:rsidR="00993DFA" w:rsidRPr="00985B97" w:rsidRDefault="00993DFA" w:rsidP="00985B97">
      <w:pPr>
        <w:jc w:val="both"/>
        <w:rPr>
          <w:lang w:val="es-ES"/>
        </w:rPr>
      </w:pPr>
      <w:r w:rsidRPr="00985B97">
        <w:rPr>
          <w:lang w:val="es-ES"/>
        </w:rPr>
        <w:t xml:space="preserve">La «arquitectura institucional» de un sector puede adaptarse, transformarse o transitar de una forma a otra. Sin embargo, ello implica tensiones, rupturas, dificultades y acuerdos entre agentes en el modo de hacerlo y en los mecanismos necesarios y legítimos para lograrlo. La dificultad para lograr cambios en las normas, instituciones y prácticas, es decir, el grado de </w:t>
      </w:r>
      <w:r w:rsidRPr="00985B97">
        <w:rPr>
          <w:i/>
          <w:lang w:val="es-ES"/>
        </w:rPr>
        <w:t>rigidez</w:t>
      </w:r>
      <w:r w:rsidRPr="00985B97">
        <w:rPr>
          <w:lang w:val="es-ES"/>
        </w:rPr>
        <w:t xml:space="preserve"> de una arquitectura institucional, supone condiciones específicas en: la distribución del poder político y de las demandas del entorno social (</w:t>
      </w:r>
      <w:proofErr w:type="spellStart"/>
      <w:r w:rsidRPr="00985B97">
        <w:rPr>
          <w:lang w:val="es-ES"/>
        </w:rPr>
        <w:t>Jessop</w:t>
      </w:r>
      <w:proofErr w:type="spellEnd"/>
      <w:r w:rsidRPr="00985B97">
        <w:rPr>
          <w:lang w:val="es-ES"/>
        </w:rPr>
        <w:t xml:space="preserve">, </w:t>
      </w:r>
      <w:r w:rsidRPr="00985B97">
        <w:rPr>
          <w:lang w:val="es-ES"/>
        </w:rPr>
        <w:lastRenderedPageBreak/>
        <w:t>2021; Misas, 2019); en las trayectorias de las organizaciones y sus reglas de juego (North, 1993); las disputas por el poder por parte de grupos de interés en escenarios de negociación o disputa (Marquardt, 2018; Olson, 1992); en las coaliciones o acuerdos durante procesos de cambio o reforma (</w:t>
      </w:r>
      <w:proofErr w:type="spellStart"/>
      <w:r w:rsidRPr="00985B97">
        <w:rPr>
          <w:lang w:val="es-ES"/>
        </w:rPr>
        <w:t>Thelen</w:t>
      </w:r>
      <w:proofErr w:type="spellEnd"/>
      <w:r w:rsidRPr="00985B97">
        <w:rPr>
          <w:lang w:val="es-ES"/>
        </w:rPr>
        <w:t xml:space="preserve">, 2004; </w:t>
      </w:r>
      <w:proofErr w:type="spellStart"/>
      <w:r w:rsidRPr="00985B97">
        <w:rPr>
          <w:lang w:val="es-ES"/>
        </w:rPr>
        <w:t>Malm</w:t>
      </w:r>
      <w:proofErr w:type="spellEnd"/>
      <w:r w:rsidRPr="00985B97">
        <w:rPr>
          <w:lang w:val="es-ES"/>
        </w:rPr>
        <w:t>, 2019), y en los valores interiorizados sobre lo que es deseable, legítimo y necesario en momentos históricos concretos y por parte de grupos específicos (</w:t>
      </w:r>
      <w:proofErr w:type="spellStart"/>
      <w:r w:rsidRPr="00985B97">
        <w:rPr>
          <w:lang w:val="es-ES"/>
        </w:rPr>
        <w:t>Malm</w:t>
      </w:r>
      <w:proofErr w:type="spellEnd"/>
      <w:r w:rsidRPr="00985B97">
        <w:rPr>
          <w:lang w:val="es-ES"/>
        </w:rPr>
        <w:t>, 2019).</w:t>
      </w:r>
    </w:p>
    <w:p w14:paraId="3C0508DE" w14:textId="77777777" w:rsidR="00993DFA" w:rsidRPr="00985B97" w:rsidRDefault="00993DFA" w:rsidP="00985B97">
      <w:pPr>
        <w:jc w:val="both"/>
        <w:rPr>
          <w:lang w:val="es-ES"/>
        </w:rPr>
      </w:pPr>
      <w:r w:rsidRPr="00985B97">
        <w:rPr>
          <w:lang w:val="es-ES"/>
        </w:rPr>
        <w:t>La transformación de una «arquitectura institucional» implica trabajar sobre las normas, las instituciones y las prácticas. Desde un punto de vista normativo es necesario disputar leyes, modificar decretos, cambiar reglas de juego y construir otros acuerdos, tanto formales como informales, para dar otro rumbo a las decisiones que, en momentos concretos de la historia, definieron ciertos intereses (</w:t>
      </w:r>
      <w:proofErr w:type="spellStart"/>
      <w:r w:rsidRPr="00985B97">
        <w:rPr>
          <w:lang w:val="es-ES"/>
        </w:rPr>
        <w:t>Jessop</w:t>
      </w:r>
      <w:proofErr w:type="spellEnd"/>
      <w:r w:rsidRPr="00985B97">
        <w:rPr>
          <w:lang w:val="es-ES"/>
        </w:rPr>
        <w:t>, 2021). También, resulta necesario cambiar las organizaciones, en relación con sus estructuras, jerarquías y modos de relacionamiento, junto con los sistemas de valores sobre lo que es moralmente correcto y, en un sentido común arraigado en el tiempo, lógicamente necesario (</w:t>
      </w:r>
      <w:proofErr w:type="spellStart"/>
      <w:r w:rsidRPr="00985B97">
        <w:rPr>
          <w:lang w:val="es-ES"/>
        </w:rPr>
        <w:t>Malm</w:t>
      </w:r>
      <w:proofErr w:type="spellEnd"/>
      <w:r w:rsidRPr="00985B97">
        <w:rPr>
          <w:lang w:val="es-ES"/>
        </w:rPr>
        <w:t>, 2019; Misas, 2019). Finalmente, implica conocer y/o modificar prácticas de gobierno, formas de acción, modos de participación, tipos de saberes y materialidades (Ariztía, 2017; Muñiz, 2024).</w:t>
      </w:r>
    </w:p>
    <w:p w14:paraId="2831FFBF" w14:textId="77777777" w:rsidR="00993DFA" w:rsidRPr="00985B97" w:rsidRDefault="00993DFA" w:rsidP="00A86834">
      <w:pPr>
        <w:pStyle w:val="Ttulo1"/>
      </w:pPr>
      <w:bookmarkStart w:id="103" w:name="_Toc235107978"/>
      <w:r w:rsidRPr="00985B97">
        <w:t>Marco conceptual</w:t>
      </w:r>
      <w:bookmarkEnd w:id="103"/>
    </w:p>
    <w:p w14:paraId="212D06B9" w14:textId="77777777" w:rsidR="00993DFA" w:rsidRPr="00985B97" w:rsidRDefault="00993DFA" w:rsidP="00985B97">
      <w:pPr>
        <w:jc w:val="both"/>
      </w:pPr>
      <w:r w:rsidRPr="00985B97">
        <w:t xml:space="preserve">Para efectos de esta investigación, se entiende por </w:t>
      </w:r>
      <w:r w:rsidRPr="00985B97">
        <w:rPr>
          <w:i/>
          <w:iCs/>
        </w:rPr>
        <w:t>subsector</w:t>
      </w:r>
      <w:r w:rsidRPr="00985B97">
        <w:t xml:space="preserve"> cada uno de los campos que integran el sector minero-energético y que constituyen unidades diferenciadas de análisis normativo: energía, minería e hidrocarburos. Cada subsector cuenta con marcos regulatorios, arreglos institucionales, instrumentos de política y dinámicas propias, por lo que su tratamiento separado permite identificar similitudes, diferencias, vacíos y especificidades en la manera en que la transición energética justa es incorporada en las normas. Esta distinción es relevante porque, aunque los tres subsectores forman parte de un mismo campo estratégico de política pública, no enfrentan los mismos desafíos regulatorios ni responden de igual forma a los objetivos de transición.</w:t>
      </w:r>
    </w:p>
    <w:p w14:paraId="5767B3DC" w14:textId="77777777" w:rsidR="00993DFA" w:rsidRPr="00985B97" w:rsidRDefault="00993DFA" w:rsidP="00985B97">
      <w:pPr>
        <w:jc w:val="both"/>
      </w:pPr>
      <w:r w:rsidRPr="00985B97">
        <w:t xml:space="preserve">Junto a la mirada </w:t>
      </w:r>
      <w:proofErr w:type="spellStart"/>
      <w:r w:rsidRPr="00985B97">
        <w:t>subsectorial</w:t>
      </w:r>
      <w:proofErr w:type="spellEnd"/>
      <w:r w:rsidRPr="00985B97">
        <w:t xml:space="preserve">, esta investigación incorpora una perspectiva sobre las </w:t>
      </w:r>
      <w:r w:rsidRPr="00985B97">
        <w:rPr>
          <w:i/>
          <w:iCs/>
        </w:rPr>
        <w:t>problemáticas transversales de la TEJ</w:t>
      </w:r>
      <w:r w:rsidRPr="00985B97">
        <w:t xml:space="preserve">. Estas problemáticas corresponden a aquellos temas que atraviesan a los tres subsectores y que son indispensables para evaluar si la transición energética se configura no solo como un </w:t>
      </w:r>
      <w:r w:rsidRPr="00985B97">
        <w:lastRenderedPageBreak/>
        <w:t>proceso técnico o económico, sino también como un proceso social, ambiental y territorialmente justo. En este instrumento, las problemáticas transversales de la TEJ comprenden cinco ejes: (i) transparencia y sistemas de indicadores de seguimiento; (</w:t>
      </w:r>
      <w:proofErr w:type="spellStart"/>
      <w:r w:rsidRPr="00985B97">
        <w:t>ii</w:t>
      </w:r>
      <w:proofErr w:type="spellEnd"/>
      <w:r w:rsidRPr="00985B97">
        <w:t>) participación vinculante y consulta previa; (</w:t>
      </w:r>
      <w:proofErr w:type="spellStart"/>
      <w:r w:rsidRPr="00985B97">
        <w:t>iii</w:t>
      </w:r>
      <w:proofErr w:type="spellEnd"/>
      <w:r w:rsidRPr="00985B97">
        <w:t>) gestión de conflictos socioambientales; (</w:t>
      </w:r>
      <w:proofErr w:type="spellStart"/>
      <w:r w:rsidRPr="00985B97">
        <w:t>iv</w:t>
      </w:r>
      <w:proofErr w:type="spellEnd"/>
      <w:r w:rsidRPr="00985B97">
        <w:t>) protección de derechos humanos y paz territorial; y (v) enfoque étnico y de género. Estos elementos permiten observar hasta qué punto las normas y políticas del sector minero-energético incorporan dimensiones de inclusión, justicia y legitimidad democrática.</w:t>
      </w:r>
    </w:p>
    <w:p w14:paraId="406BD1CB" w14:textId="77777777" w:rsidR="00993DFA" w:rsidRPr="00985B97" w:rsidRDefault="00993DFA" w:rsidP="00985B97">
      <w:pPr>
        <w:jc w:val="both"/>
      </w:pPr>
      <w:r w:rsidRPr="00985B97">
        <w:t xml:space="preserve">En este marco, la noción de </w:t>
      </w:r>
      <w:r w:rsidRPr="00985B97">
        <w:rPr>
          <w:i/>
          <w:iCs/>
        </w:rPr>
        <w:t>política pública</w:t>
      </w:r>
      <w:r w:rsidRPr="00985B97">
        <w:t xml:space="preserve"> se entiende como el conjunto de planes, programas o estrategias dirigidos a resolver problemas de los subsectores y a cumplir metas sectoriales. Esta definición permite distinguir las políticas públicas de otros componentes del instrumento, como la arquitectura institucional o las políticas fiscales. Las políticas públicas hacen referencia a acciones orientadas a intervenir sobre desafíos concretos, tales como acceso, reconversión laboral, eficiencia, inclusión o reducción de brechas.</w:t>
      </w:r>
    </w:p>
    <w:p w14:paraId="035C2E8B" w14:textId="77777777" w:rsidR="00993DFA" w:rsidRPr="00985B97" w:rsidRDefault="00993DFA" w:rsidP="00985B97">
      <w:pPr>
        <w:jc w:val="both"/>
      </w:pPr>
      <w:r w:rsidRPr="00985B97">
        <w:t xml:space="preserve">La </w:t>
      </w:r>
      <w:r w:rsidRPr="00985B97">
        <w:rPr>
          <w:i/>
          <w:iCs/>
        </w:rPr>
        <w:t>arquitectura institucional</w:t>
      </w:r>
      <w:r w:rsidRPr="00985B97">
        <w:t xml:space="preserve"> se define como el conjunto de normas, instituciones y prácticas que establecen la organización del Estado para cada subsector. Incluye, entre otros elementos, las competencias de ministerios y agencias, los mecanismos de coordinación, la planificación estratégica, los instrumentos financieros públicos y el rol de las empresas estatales. Desde esta perspectiva, la arquitectura institucional constituye la base organizativa y normativa que hace posible la formulación, implementación y seguimiento de la transición energética justa en cada subsector.</w:t>
      </w:r>
    </w:p>
    <w:p w14:paraId="02723D27" w14:textId="77777777" w:rsidR="00993DFA" w:rsidRPr="00985B97" w:rsidRDefault="00993DFA" w:rsidP="00985B97">
      <w:pPr>
        <w:pStyle w:val="Prrafodelista"/>
        <w:ind w:left="0"/>
        <w:jc w:val="both"/>
      </w:pPr>
      <w:r w:rsidRPr="00985B97">
        <w:t xml:space="preserve">Finalmente, las </w:t>
      </w:r>
      <w:r w:rsidRPr="00985B97">
        <w:rPr>
          <w:i/>
          <w:iCs/>
        </w:rPr>
        <w:t>políticas fiscales</w:t>
      </w:r>
      <w:r w:rsidRPr="00985B97">
        <w:t xml:space="preserve"> se entienden como el conjunto de instrumentos de tipo tributario o financiero que recaen sobre distintos actores o actividades. En esta categoría se incluyen, por ejemplo, impuestos, tasas, subsidios, regalías e incentivos. Su importancia dentro del análisis radica en que permiten identificar cómo el Estado orienta comportamientos económicos, redistribuye cargas y beneficios, y crea condiciones materiales para acelerar, financiar o corregir los efectos de la transición energética justa.</w:t>
      </w:r>
    </w:p>
    <w:p w14:paraId="73A0AC8C" w14:textId="77777777" w:rsidR="00993DFA" w:rsidRPr="00985B97" w:rsidRDefault="00993DFA" w:rsidP="00985B97">
      <w:pPr>
        <w:pStyle w:val="Prrafodelista"/>
        <w:ind w:left="567" w:hanging="567"/>
        <w:jc w:val="both"/>
        <w:rPr>
          <w:color w:val="D49E21"/>
        </w:rPr>
      </w:pPr>
    </w:p>
    <w:p w14:paraId="76087D94" w14:textId="77777777" w:rsidR="00993DFA" w:rsidRPr="00985B97" w:rsidRDefault="00993DFA" w:rsidP="00A86834">
      <w:pPr>
        <w:pStyle w:val="Ttulo1"/>
      </w:pPr>
      <w:bookmarkStart w:id="104" w:name="_Toc235107979"/>
      <w:r w:rsidRPr="00985B97">
        <w:lastRenderedPageBreak/>
        <w:t>Marco normativo</w:t>
      </w:r>
      <w:bookmarkEnd w:id="104"/>
    </w:p>
    <w:p w14:paraId="3EC69E50" w14:textId="77777777" w:rsidR="00993DFA" w:rsidRPr="00985B97" w:rsidRDefault="00993DFA" w:rsidP="00985B97">
      <w:pPr>
        <w:pStyle w:val="Prrafodelista"/>
        <w:ind w:left="0"/>
        <w:jc w:val="both"/>
      </w:pPr>
      <w:r w:rsidRPr="00985B97">
        <w:t>Si bien el marco normativo del sector minero energético es amplio, y puede trazarse a lo largo del siglo XX (incluso desde la década de 1940 con la creación del Ministerio de Minas y Petróleos), aquí se incluirán las leyes más importantes del sector en la actualidad, especialmente en el marco de la Transición Energética Justa (Tabla 1).</w:t>
      </w:r>
    </w:p>
    <w:p w14:paraId="64B42D2A" w14:textId="77777777" w:rsidR="00993DFA" w:rsidRPr="00985B97" w:rsidRDefault="00993DFA" w:rsidP="00985B97">
      <w:pPr>
        <w:pStyle w:val="Prrafodelista"/>
        <w:ind w:left="0"/>
        <w:jc w:val="both"/>
      </w:pPr>
    </w:p>
    <w:p w14:paraId="6F3596BF" w14:textId="77777777" w:rsidR="00993DFA" w:rsidRPr="00985B97" w:rsidRDefault="00993DFA" w:rsidP="00985B97">
      <w:pPr>
        <w:pStyle w:val="Prrafodelista"/>
        <w:ind w:left="0"/>
        <w:jc w:val="both"/>
      </w:pPr>
      <w:r w:rsidRPr="00985B97">
        <w:t xml:space="preserve">Las leyes 142 y 143 de 1994 son las leyes que regulan los servicios públicos domiciliarios en el país y constituyen uno de los marcos fundamentales del sector eléctrico en el país, conforman la Comisión Reguladora de Energía y Gas y disponen otras normas relevantes. Además, en el año 1995 se expidió la Resolución 24 de la CREG, que estableció la reglamentación del mercado mayorista de energía. </w:t>
      </w:r>
    </w:p>
    <w:p w14:paraId="75E50C34" w14:textId="77777777" w:rsidR="00993DFA" w:rsidRPr="00985B97" w:rsidRDefault="00993DFA" w:rsidP="00985B97">
      <w:pPr>
        <w:pStyle w:val="Prrafodelista"/>
        <w:ind w:left="0"/>
        <w:jc w:val="both"/>
      </w:pPr>
    </w:p>
    <w:p w14:paraId="6F12199A" w14:textId="77777777" w:rsidR="00993DFA" w:rsidRPr="00985B97" w:rsidRDefault="00993DFA" w:rsidP="00985B97">
      <w:pPr>
        <w:pStyle w:val="Prrafodelista"/>
        <w:ind w:left="0"/>
        <w:jc w:val="both"/>
      </w:pPr>
      <w:r w:rsidRPr="00985B97">
        <w:t>En la década de los 2000 hay varias leyes de alto valor para el sector eléctrico. En 2001 se expidió la Ley 697, que dispone la eficiencia energética como un asunto de interés público y establece la promoción de la utilización de las energías renovables. Esta ley se reglamentó mediante los decretos 3683 de 2003 y el decreto 2225 de 2010. En 2004 se estableció el Fondo Especial de Energía Social (FOES) mediante la Ley 939 de 2004 y en 2008 se establecieron medidas frente la cogeneración mediante la ley 1215 de dicho año. Además, en 2010 se expidió la Resolución 5 de 2010 por la CREG que reglamentó técnicamente las condiciones para los procesos de cogeneración.</w:t>
      </w:r>
    </w:p>
    <w:p w14:paraId="246D2CBF" w14:textId="77777777" w:rsidR="00993DFA" w:rsidRPr="00985B97" w:rsidRDefault="00993DFA" w:rsidP="00985B97">
      <w:pPr>
        <w:pStyle w:val="Prrafodelista"/>
        <w:ind w:left="0"/>
        <w:jc w:val="both"/>
      </w:pPr>
    </w:p>
    <w:p w14:paraId="0B5A6259" w14:textId="77777777" w:rsidR="00993DFA" w:rsidRPr="00985B97" w:rsidRDefault="00993DFA" w:rsidP="00985B97">
      <w:pPr>
        <w:pStyle w:val="Prrafodelista"/>
        <w:ind w:left="0"/>
        <w:jc w:val="both"/>
      </w:pPr>
      <w:r w:rsidRPr="00985B97">
        <w:t xml:space="preserve">En la década de 2010 se expidieron diversas normas en materia del sector eléctrico y Transición Energética. La CREG expidió la Resolución 148 de 2011, que estableció una metodología para la determinación de la energía en firme de las plantas eólicas. En 2012 se emitió el Decreto 381 de 2012 que estableció la reglamentación de la estructura del Ministerio de Minas y Energía, en 2013 se estableció el Protocolo de Coordinación Interinstitucional para la consulta previa mediante el decreto 2613 de 2013. </w:t>
      </w:r>
    </w:p>
    <w:p w14:paraId="257BA456" w14:textId="77777777" w:rsidR="00993DFA" w:rsidRPr="00985B97" w:rsidRDefault="00993DFA" w:rsidP="00985B97">
      <w:pPr>
        <w:pStyle w:val="Prrafodelista"/>
        <w:ind w:left="0"/>
        <w:jc w:val="both"/>
      </w:pPr>
    </w:p>
    <w:p w14:paraId="135C2CF8" w14:textId="77777777" w:rsidR="00993DFA" w:rsidRPr="00985B97" w:rsidRDefault="00993DFA" w:rsidP="00985B97">
      <w:pPr>
        <w:pStyle w:val="Prrafodelista"/>
        <w:ind w:left="0"/>
        <w:jc w:val="both"/>
      </w:pPr>
      <w:r w:rsidRPr="00985B97">
        <w:rPr>
          <w:b/>
          <w:bCs/>
        </w:rPr>
        <w:t>Tabla 1.</w:t>
      </w:r>
      <w:r w:rsidRPr="00985B97">
        <w:t xml:space="preserve"> </w:t>
      </w:r>
      <w:r w:rsidRPr="00985B97">
        <w:rPr>
          <w:i/>
          <w:iCs/>
        </w:rPr>
        <w:t>Síntesis de marco normativo.</w:t>
      </w:r>
    </w:p>
    <w:tbl>
      <w:tblPr>
        <w:tblW w:w="93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13"/>
        <w:gridCol w:w="2371"/>
        <w:gridCol w:w="2495"/>
        <w:gridCol w:w="3015"/>
      </w:tblGrid>
      <w:tr w:rsidR="00993DFA" w:rsidRPr="00985B97" w14:paraId="3620385C" w14:textId="77777777" w:rsidTr="003C2C7C">
        <w:trPr>
          <w:trHeight w:val="300"/>
          <w:tblHeader/>
        </w:trPr>
        <w:tc>
          <w:tcPr>
            <w:tcW w:w="1500" w:type="dxa"/>
            <w:shd w:val="clear" w:color="auto" w:fill="F2F2F2" w:themeFill="background1" w:themeFillShade="F2"/>
            <w:noWrap/>
            <w:vAlign w:val="bottom"/>
            <w:hideMark/>
          </w:tcPr>
          <w:p w14:paraId="5235E2A3" w14:textId="77777777" w:rsidR="00993DFA" w:rsidRPr="00985B97" w:rsidRDefault="00993DFA" w:rsidP="00985B97">
            <w:pPr>
              <w:spacing w:after="0"/>
              <w:rPr>
                <w:rFonts w:asciiTheme="majorHAnsi" w:hAnsiTheme="majorHAnsi" w:cstheme="majorHAnsi"/>
                <w:b/>
                <w:bCs/>
                <w:color w:val="000000"/>
              </w:rPr>
            </w:pPr>
            <w:r w:rsidRPr="00985B97">
              <w:rPr>
                <w:rFonts w:asciiTheme="majorHAnsi" w:hAnsiTheme="majorHAnsi" w:cstheme="majorHAnsi"/>
                <w:b/>
                <w:bCs/>
                <w:color w:val="000000"/>
              </w:rPr>
              <w:lastRenderedPageBreak/>
              <w:t>Periodo / año</w:t>
            </w:r>
          </w:p>
        </w:tc>
        <w:tc>
          <w:tcPr>
            <w:tcW w:w="2375" w:type="dxa"/>
            <w:shd w:val="clear" w:color="auto" w:fill="F2F2F2" w:themeFill="background1" w:themeFillShade="F2"/>
            <w:noWrap/>
            <w:vAlign w:val="bottom"/>
            <w:hideMark/>
          </w:tcPr>
          <w:p w14:paraId="7844580F" w14:textId="77777777" w:rsidR="00993DFA" w:rsidRPr="00985B97" w:rsidRDefault="00993DFA" w:rsidP="00985B97">
            <w:pPr>
              <w:spacing w:after="0"/>
              <w:rPr>
                <w:rFonts w:asciiTheme="majorHAnsi" w:hAnsiTheme="majorHAnsi" w:cstheme="majorHAnsi"/>
                <w:b/>
                <w:bCs/>
                <w:color w:val="000000"/>
              </w:rPr>
            </w:pPr>
            <w:r w:rsidRPr="00985B97">
              <w:rPr>
                <w:rFonts w:asciiTheme="majorHAnsi" w:hAnsiTheme="majorHAnsi" w:cstheme="majorHAnsi"/>
                <w:b/>
                <w:bCs/>
                <w:color w:val="000000"/>
              </w:rPr>
              <w:t>Norma(s) principal(es)</w:t>
            </w:r>
          </w:p>
        </w:tc>
        <w:tc>
          <w:tcPr>
            <w:tcW w:w="2499" w:type="dxa"/>
            <w:shd w:val="clear" w:color="auto" w:fill="F2F2F2" w:themeFill="background1" w:themeFillShade="F2"/>
            <w:noWrap/>
            <w:vAlign w:val="bottom"/>
            <w:hideMark/>
          </w:tcPr>
          <w:p w14:paraId="70F33746" w14:textId="77777777" w:rsidR="00993DFA" w:rsidRPr="00985B97" w:rsidRDefault="00993DFA" w:rsidP="00985B97">
            <w:pPr>
              <w:spacing w:after="0"/>
              <w:rPr>
                <w:rFonts w:asciiTheme="majorHAnsi" w:hAnsiTheme="majorHAnsi" w:cstheme="majorHAnsi"/>
                <w:b/>
                <w:bCs/>
                <w:color w:val="000000"/>
              </w:rPr>
            </w:pPr>
            <w:r w:rsidRPr="00985B97">
              <w:rPr>
                <w:rFonts w:asciiTheme="majorHAnsi" w:hAnsiTheme="majorHAnsi" w:cstheme="majorHAnsi"/>
                <w:b/>
                <w:bCs/>
                <w:color w:val="000000"/>
              </w:rPr>
              <w:t>Tema central</w:t>
            </w:r>
          </w:p>
        </w:tc>
        <w:tc>
          <w:tcPr>
            <w:tcW w:w="3020" w:type="dxa"/>
            <w:shd w:val="clear" w:color="auto" w:fill="F2F2F2" w:themeFill="background1" w:themeFillShade="F2"/>
            <w:noWrap/>
            <w:vAlign w:val="bottom"/>
            <w:hideMark/>
          </w:tcPr>
          <w:p w14:paraId="3D9C7423" w14:textId="77777777" w:rsidR="00993DFA" w:rsidRPr="00985B97" w:rsidRDefault="00993DFA" w:rsidP="00985B97">
            <w:pPr>
              <w:spacing w:after="0"/>
              <w:rPr>
                <w:rFonts w:asciiTheme="majorHAnsi" w:hAnsiTheme="majorHAnsi" w:cstheme="majorHAnsi"/>
                <w:b/>
                <w:bCs/>
                <w:color w:val="000000"/>
              </w:rPr>
            </w:pPr>
            <w:r w:rsidRPr="00985B97">
              <w:rPr>
                <w:rFonts w:asciiTheme="majorHAnsi" w:hAnsiTheme="majorHAnsi" w:cstheme="majorHAnsi"/>
                <w:b/>
                <w:bCs/>
                <w:color w:val="000000"/>
              </w:rPr>
              <w:t>Aporte o relevancia</w:t>
            </w:r>
          </w:p>
        </w:tc>
      </w:tr>
      <w:tr w:rsidR="00993DFA" w:rsidRPr="00985B97" w14:paraId="05D1A9C9" w14:textId="77777777" w:rsidTr="003C2C7C">
        <w:trPr>
          <w:trHeight w:val="300"/>
        </w:trPr>
        <w:tc>
          <w:tcPr>
            <w:tcW w:w="1500" w:type="dxa"/>
            <w:noWrap/>
            <w:vAlign w:val="center"/>
            <w:hideMark/>
          </w:tcPr>
          <w:p w14:paraId="0D1EEC81"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1994</w:t>
            </w:r>
          </w:p>
        </w:tc>
        <w:tc>
          <w:tcPr>
            <w:tcW w:w="2375" w:type="dxa"/>
            <w:noWrap/>
            <w:vAlign w:val="center"/>
            <w:hideMark/>
          </w:tcPr>
          <w:p w14:paraId="7663C47C"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Leyes 142 y 143</w:t>
            </w:r>
          </w:p>
        </w:tc>
        <w:tc>
          <w:tcPr>
            <w:tcW w:w="2499" w:type="dxa"/>
            <w:noWrap/>
            <w:vAlign w:val="center"/>
            <w:hideMark/>
          </w:tcPr>
          <w:p w14:paraId="6C75CF04"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Servicios públicos domiciliarios y sector eléctrico</w:t>
            </w:r>
          </w:p>
        </w:tc>
        <w:tc>
          <w:tcPr>
            <w:tcW w:w="3020" w:type="dxa"/>
            <w:noWrap/>
            <w:vAlign w:val="center"/>
            <w:hideMark/>
          </w:tcPr>
          <w:p w14:paraId="7E93C3F6"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Establecen uno de los marcos fundamentales del sector eléctrico y crean bases regulatorias, incluida la CREG.</w:t>
            </w:r>
          </w:p>
        </w:tc>
      </w:tr>
      <w:tr w:rsidR="00993DFA" w:rsidRPr="00985B97" w14:paraId="5B728D02" w14:textId="77777777" w:rsidTr="003C2C7C">
        <w:trPr>
          <w:trHeight w:val="300"/>
        </w:trPr>
        <w:tc>
          <w:tcPr>
            <w:tcW w:w="1500" w:type="dxa"/>
            <w:noWrap/>
            <w:vAlign w:val="center"/>
            <w:hideMark/>
          </w:tcPr>
          <w:p w14:paraId="576B2968"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1995</w:t>
            </w:r>
          </w:p>
        </w:tc>
        <w:tc>
          <w:tcPr>
            <w:tcW w:w="2375" w:type="dxa"/>
            <w:noWrap/>
            <w:vAlign w:val="center"/>
            <w:hideMark/>
          </w:tcPr>
          <w:p w14:paraId="45206D1F"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Resolución CREG 24</w:t>
            </w:r>
          </w:p>
        </w:tc>
        <w:tc>
          <w:tcPr>
            <w:tcW w:w="2499" w:type="dxa"/>
            <w:noWrap/>
            <w:vAlign w:val="center"/>
            <w:hideMark/>
          </w:tcPr>
          <w:p w14:paraId="08071F26"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Mercado mayorista de energía</w:t>
            </w:r>
          </w:p>
        </w:tc>
        <w:tc>
          <w:tcPr>
            <w:tcW w:w="3020" w:type="dxa"/>
            <w:noWrap/>
            <w:vAlign w:val="center"/>
            <w:hideMark/>
          </w:tcPr>
          <w:p w14:paraId="1442A2F7"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Reglamenta el funcionamiento del mercado mayorista de energía.</w:t>
            </w:r>
          </w:p>
        </w:tc>
      </w:tr>
      <w:tr w:rsidR="00993DFA" w:rsidRPr="00985B97" w14:paraId="79B6AC4F" w14:textId="77777777" w:rsidTr="003C2C7C">
        <w:trPr>
          <w:trHeight w:val="300"/>
        </w:trPr>
        <w:tc>
          <w:tcPr>
            <w:tcW w:w="1500" w:type="dxa"/>
            <w:noWrap/>
            <w:vAlign w:val="center"/>
            <w:hideMark/>
          </w:tcPr>
          <w:p w14:paraId="5498772B"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2001</w:t>
            </w:r>
          </w:p>
        </w:tc>
        <w:tc>
          <w:tcPr>
            <w:tcW w:w="2375" w:type="dxa"/>
            <w:noWrap/>
            <w:vAlign w:val="center"/>
            <w:hideMark/>
          </w:tcPr>
          <w:p w14:paraId="7820869B"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Ley 697</w:t>
            </w:r>
          </w:p>
        </w:tc>
        <w:tc>
          <w:tcPr>
            <w:tcW w:w="2499" w:type="dxa"/>
            <w:noWrap/>
            <w:vAlign w:val="center"/>
            <w:hideMark/>
          </w:tcPr>
          <w:p w14:paraId="12D8EE49"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Eficiencia energética y renovables</w:t>
            </w:r>
          </w:p>
        </w:tc>
        <w:tc>
          <w:tcPr>
            <w:tcW w:w="3020" w:type="dxa"/>
            <w:noWrap/>
            <w:vAlign w:val="center"/>
            <w:hideMark/>
          </w:tcPr>
          <w:p w14:paraId="273A114E"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Declara la eficiencia energética de interés público y promueve energías renovables.</w:t>
            </w:r>
          </w:p>
        </w:tc>
      </w:tr>
      <w:tr w:rsidR="00993DFA" w:rsidRPr="00985B97" w14:paraId="17456A54" w14:textId="77777777" w:rsidTr="003C2C7C">
        <w:trPr>
          <w:trHeight w:val="300"/>
        </w:trPr>
        <w:tc>
          <w:tcPr>
            <w:tcW w:w="1500" w:type="dxa"/>
            <w:noWrap/>
            <w:vAlign w:val="center"/>
            <w:hideMark/>
          </w:tcPr>
          <w:p w14:paraId="6FFD3DC5"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2003 y 2010</w:t>
            </w:r>
          </w:p>
        </w:tc>
        <w:tc>
          <w:tcPr>
            <w:tcW w:w="2375" w:type="dxa"/>
            <w:noWrap/>
            <w:vAlign w:val="center"/>
            <w:hideMark/>
          </w:tcPr>
          <w:p w14:paraId="61379E22"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Decretos 3683 de 2003 y 2225 de 2010</w:t>
            </w:r>
          </w:p>
        </w:tc>
        <w:tc>
          <w:tcPr>
            <w:tcW w:w="2499" w:type="dxa"/>
            <w:noWrap/>
            <w:vAlign w:val="center"/>
            <w:hideMark/>
          </w:tcPr>
          <w:p w14:paraId="2DBA6A06"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Reglamentación de Ley 697</w:t>
            </w:r>
          </w:p>
        </w:tc>
        <w:tc>
          <w:tcPr>
            <w:tcW w:w="3020" w:type="dxa"/>
            <w:noWrap/>
            <w:vAlign w:val="center"/>
            <w:hideMark/>
          </w:tcPr>
          <w:p w14:paraId="638242B1"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Desarrollan la normativa sobre eficiencia energética y renovables.</w:t>
            </w:r>
          </w:p>
        </w:tc>
      </w:tr>
      <w:tr w:rsidR="00993DFA" w:rsidRPr="00985B97" w14:paraId="55834C1F" w14:textId="77777777" w:rsidTr="003C2C7C">
        <w:trPr>
          <w:trHeight w:val="300"/>
        </w:trPr>
        <w:tc>
          <w:tcPr>
            <w:tcW w:w="1500" w:type="dxa"/>
            <w:noWrap/>
            <w:vAlign w:val="center"/>
            <w:hideMark/>
          </w:tcPr>
          <w:p w14:paraId="5D0CCCD0"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2004</w:t>
            </w:r>
          </w:p>
        </w:tc>
        <w:tc>
          <w:tcPr>
            <w:tcW w:w="2375" w:type="dxa"/>
            <w:noWrap/>
            <w:vAlign w:val="center"/>
            <w:hideMark/>
          </w:tcPr>
          <w:p w14:paraId="4F1A3F86"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Ley 939</w:t>
            </w:r>
          </w:p>
        </w:tc>
        <w:tc>
          <w:tcPr>
            <w:tcW w:w="2499" w:type="dxa"/>
            <w:noWrap/>
            <w:vAlign w:val="center"/>
            <w:hideMark/>
          </w:tcPr>
          <w:p w14:paraId="3D03CA1A"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Energía social</w:t>
            </w:r>
          </w:p>
        </w:tc>
        <w:tc>
          <w:tcPr>
            <w:tcW w:w="3020" w:type="dxa"/>
            <w:noWrap/>
            <w:vAlign w:val="center"/>
            <w:hideMark/>
          </w:tcPr>
          <w:p w14:paraId="556D19CA"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Crea el Fondo Especial de Energía Social (FOES).</w:t>
            </w:r>
          </w:p>
        </w:tc>
      </w:tr>
      <w:tr w:rsidR="00993DFA" w:rsidRPr="00985B97" w14:paraId="115888EF" w14:textId="77777777" w:rsidTr="003C2C7C">
        <w:trPr>
          <w:trHeight w:val="300"/>
        </w:trPr>
        <w:tc>
          <w:tcPr>
            <w:tcW w:w="1500" w:type="dxa"/>
            <w:noWrap/>
            <w:vAlign w:val="center"/>
            <w:hideMark/>
          </w:tcPr>
          <w:p w14:paraId="290C3720"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2008 y 2010</w:t>
            </w:r>
          </w:p>
        </w:tc>
        <w:tc>
          <w:tcPr>
            <w:tcW w:w="2375" w:type="dxa"/>
            <w:noWrap/>
            <w:vAlign w:val="center"/>
            <w:hideMark/>
          </w:tcPr>
          <w:p w14:paraId="54AB95C0"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Ley 1215 de 2008 y Resolución CREG 5 de 2010</w:t>
            </w:r>
          </w:p>
        </w:tc>
        <w:tc>
          <w:tcPr>
            <w:tcW w:w="2499" w:type="dxa"/>
            <w:noWrap/>
            <w:vAlign w:val="center"/>
            <w:hideMark/>
          </w:tcPr>
          <w:p w14:paraId="559CB965"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Cogeneración</w:t>
            </w:r>
          </w:p>
        </w:tc>
        <w:tc>
          <w:tcPr>
            <w:tcW w:w="3020" w:type="dxa"/>
            <w:noWrap/>
            <w:vAlign w:val="center"/>
            <w:hideMark/>
          </w:tcPr>
          <w:p w14:paraId="78813EF1"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Establecen medidas y condiciones técnicas para procesos de cogeneración.</w:t>
            </w:r>
          </w:p>
        </w:tc>
      </w:tr>
      <w:tr w:rsidR="00993DFA" w:rsidRPr="00985B97" w14:paraId="1A7A918C" w14:textId="77777777" w:rsidTr="003C2C7C">
        <w:trPr>
          <w:trHeight w:val="300"/>
        </w:trPr>
        <w:tc>
          <w:tcPr>
            <w:tcW w:w="1500" w:type="dxa"/>
            <w:noWrap/>
            <w:vAlign w:val="center"/>
            <w:hideMark/>
          </w:tcPr>
          <w:p w14:paraId="0C89E32A"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2011</w:t>
            </w:r>
          </w:p>
        </w:tc>
        <w:tc>
          <w:tcPr>
            <w:tcW w:w="2375" w:type="dxa"/>
            <w:noWrap/>
            <w:vAlign w:val="center"/>
            <w:hideMark/>
          </w:tcPr>
          <w:p w14:paraId="20DC676D"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Resolución CREG 148</w:t>
            </w:r>
          </w:p>
        </w:tc>
        <w:tc>
          <w:tcPr>
            <w:tcW w:w="2499" w:type="dxa"/>
            <w:noWrap/>
            <w:vAlign w:val="center"/>
            <w:hideMark/>
          </w:tcPr>
          <w:p w14:paraId="427877AC"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Energía eólica</w:t>
            </w:r>
          </w:p>
        </w:tc>
        <w:tc>
          <w:tcPr>
            <w:tcW w:w="3020" w:type="dxa"/>
            <w:noWrap/>
            <w:vAlign w:val="center"/>
            <w:hideMark/>
          </w:tcPr>
          <w:p w14:paraId="2293C85E"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Define metodología para determinar energía en firme de plantas eólicas.</w:t>
            </w:r>
          </w:p>
        </w:tc>
      </w:tr>
      <w:tr w:rsidR="00993DFA" w:rsidRPr="00985B97" w14:paraId="0F5D460A" w14:textId="77777777" w:rsidTr="003C2C7C">
        <w:trPr>
          <w:trHeight w:val="300"/>
        </w:trPr>
        <w:tc>
          <w:tcPr>
            <w:tcW w:w="1500" w:type="dxa"/>
            <w:noWrap/>
            <w:vAlign w:val="center"/>
            <w:hideMark/>
          </w:tcPr>
          <w:p w14:paraId="6B2E61B4"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2012</w:t>
            </w:r>
          </w:p>
        </w:tc>
        <w:tc>
          <w:tcPr>
            <w:tcW w:w="2375" w:type="dxa"/>
            <w:noWrap/>
            <w:vAlign w:val="center"/>
            <w:hideMark/>
          </w:tcPr>
          <w:p w14:paraId="6D6718EB"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Decreto 381</w:t>
            </w:r>
          </w:p>
        </w:tc>
        <w:tc>
          <w:tcPr>
            <w:tcW w:w="2499" w:type="dxa"/>
            <w:noWrap/>
            <w:vAlign w:val="center"/>
            <w:hideMark/>
          </w:tcPr>
          <w:p w14:paraId="2733EA2E"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Organización institucional</w:t>
            </w:r>
          </w:p>
        </w:tc>
        <w:tc>
          <w:tcPr>
            <w:tcW w:w="3020" w:type="dxa"/>
            <w:noWrap/>
            <w:vAlign w:val="center"/>
            <w:hideMark/>
          </w:tcPr>
          <w:p w14:paraId="0DABB577"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Reglamenta la estructura del Ministerio de Minas y Energía.</w:t>
            </w:r>
          </w:p>
        </w:tc>
      </w:tr>
      <w:tr w:rsidR="00993DFA" w:rsidRPr="00985B97" w14:paraId="4B4D4F28" w14:textId="77777777" w:rsidTr="003C2C7C">
        <w:trPr>
          <w:trHeight w:val="300"/>
        </w:trPr>
        <w:tc>
          <w:tcPr>
            <w:tcW w:w="1500" w:type="dxa"/>
            <w:noWrap/>
            <w:vAlign w:val="center"/>
            <w:hideMark/>
          </w:tcPr>
          <w:p w14:paraId="08549CC4"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2013</w:t>
            </w:r>
          </w:p>
        </w:tc>
        <w:tc>
          <w:tcPr>
            <w:tcW w:w="2375" w:type="dxa"/>
            <w:noWrap/>
            <w:vAlign w:val="center"/>
            <w:hideMark/>
          </w:tcPr>
          <w:p w14:paraId="310EC859"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Decreto 2613</w:t>
            </w:r>
          </w:p>
        </w:tc>
        <w:tc>
          <w:tcPr>
            <w:tcW w:w="2499" w:type="dxa"/>
            <w:noWrap/>
            <w:vAlign w:val="center"/>
            <w:hideMark/>
          </w:tcPr>
          <w:p w14:paraId="1F28BA34"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Consulta previa</w:t>
            </w:r>
          </w:p>
        </w:tc>
        <w:tc>
          <w:tcPr>
            <w:tcW w:w="3020" w:type="dxa"/>
            <w:noWrap/>
            <w:vAlign w:val="center"/>
            <w:hideMark/>
          </w:tcPr>
          <w:p w14:paraId="787C1562"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Adopta el Protocolo de Coordinación Interinstitucional para consulta previa.</w:t>
            </w:r>
          </w:p>
        </w:tc>
      </w:tr>
      <w:tr w:rsidR="00993DFA" w:rsidRPr="00985B97" w14:paraId="63222324" w14:textId="77777777" w:rsidTr="003C2C7C">
        <w:trPr>
          <w:trHeight w:val="300"/>
        </w:trPr>
        <w:tc>
          <w:tcPr>
            <w:tcW w:w="1500" w:type="dxa"/>
            <w:noWrap/>
            <w:vAlign w:val="center"/>
            <w:hideMark/>
          </w:tcPr>
          <w:p w14:paraId="6FE2836D"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2014</w:t>
            </w:r>
          </w:p>
        </w:tc>
        <w:tc>
          <w:tcPr>
            <w:tcW w:w="2375" w:type="dxa"/>
            <w:noWrap/>
            <w:vAlign w:val="center"/>
            <w:hideMark/>
          </w:tcPr>
          <w:p w14:paraId="5FD8DAE4"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Ley 1715 y Decreto 2469</w:t>
            </w:r>
          </w:p>
        </w:tc>
        <w:tc>
          <w:tcPr>
            <w:tcW w:w="2499" w:type="dxa"/>
            <w:noWrap/>
            <w:vAlign w:val="center"/>
            <w:hideMark/>
          </w:tcPr>
          <w:p w14:paraId="1D52450E"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FNCER y autogeneración</w:t>
            </w:r>
          </w:p>
        </w:tc>
        <w:tc>
          <w:tcPr>
            <w:tcW w:w="3020" w:type="dxa"/>
            <w:noWrap/>
            <w:vAlign w:val="center"/>
            <w:hideMark/>
          </w:tcPr>
          <w:p w14:paraId="782FF6F6"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 xml:space="preserve">Regula la integración de Fuentes No Convencionales de </w:t>
            </w:r>
            <w:r w:rsidRPr="00985B97">
              <w:rPr>
                <w:rFonts w:asciiTheme="majorHAnsi" w:hAnsiTheme="majorHAnsi" w:cstheme="majorHAnsi"/>
                <w:color w:val="000000"/>
              </w:rPr>
              <w:lastRenderedPageBreak/>
              <w:t>Energía Renovable y la entrega de excedentes a la red.</w:t>
            </w:r>
          </w:p>
        </w:tc>
      </w:tr>
      <w:tr w:rsidR="00993DFA" w:rsidRPr="00985B97" w14:paraId="2B6FF70A" w14:textId="77777777" w:rsidTr="003C2C7C">
        <w:trPr>
          <w:trHeight w:val="300"/>
        </w:trPr>
        <w:tc>
          <w:tcPr>
            <w:tcW w:w="1500" w:type="dxa"/>
            <w:noWrap/>
            <w:vAlign w:val="center"/>
            <w:hideMark/>
          </w:tcPr>
          <w:p w14:paraId="2FAB0BF3"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lastRenderedPageBreak/>
              <w:t>2014</w:t>
            </w:r>
          </w:p>
        </w:tc>
        <w:tc>
          <w:tcPr>
            <w:tcW w:w="2375" w:type="dxa"/>
            <w:noWrap/>
            <w:vAlign w:val="center"/>
            <w:hideMark/>
          </w:tcPr>
          <w:p w14:paraId="4FF62405"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Reglamentación MME</w:t>
            </w:r>
          </w:p>
        </w:tc>
        <w:tc>
          <w:tcPr>
            <w:tcW w:w="2499" w:type="dxa"/>
            <w:noWrap/>
            <w:vAlign w:val="center"/>
            <w:hideMark/>
          </w:tcPr>
          <w:p w14:paraId="30D0BD3E"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GEI en el SIN</w:t>
            </w:r>
          </w:p>
        </w:tc>
        <w:tc>
          <w:tcPr>
            <w:tcW w:w="3020" w:type="dxa"/>
            <w:noWrap/>
            <w:vAlign w:val="center"/>
            <w:hideMark/>
          </w:tcPr>
          <w:p w14:paraId="52F8BCCD"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Introduce regulación sobre gases de efecto invernadero en el Sistema Interconectado Nacional.</w:t>
            </w:r>
          </w:p>
        </w:tc>
      </w:tr>
      <w:tr w:rsidR="00993DFA" w:rsidRPr="00985B97" w14:paraId="7B1B0060" w14:textId="77777777" w:rsidTr="003C2C7C">
        <w:trPr>
          <w:trHeight w:val="300"/>
        </w:trPr>
        <w:tc>
          <w:tcPr>
            <w:tcW w:w="1500" w:type="dxa"/>
            <w:noWrap/>
            <w:vAlign w:val="center"/>
            <w:hideMark/>
          </w:tcPr>
          <w:p w14:paraId="01650A10"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2015</w:t>
            </w:r>
          </w:p>
        </w:tc>
        <w:tc>
          <w:tcPr>
            <w:tcW w:w="2375" w:type="dxa"/>
            <w:noWrap/>
            <w:vAlign w:val="center"/>
            <w:hideMark/>
          </w:tcPr>
          <w:p w14:paraId="1C3FA99C"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Ley 1753, Decreto 1073, Decreto 1076, Resolución CREG 24.</w:t>
            </w:r>
          </w:p>
        </w:tc>
        <w:tc>
          <w:tcPr>
            <w:tcW w:w="2499" w:type="dxa"/>
            <w:noWrap/>
            <w:vAlign w:val="center"/>
            <w:hideMark/>
          </w:tcPr>
          <w:p w14:paraId="515A7613"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Planeación, sector minero-energético, licencias ambientales, autogeneración</w:t>
            </w:r>
          </w:p>
        </w:tc>
        <w:tc>
          <w:tcPr>
            <w:tcW w:w="3020" w:type="dxa"/>
            <w:noWrap/>
            <w:vAlign w:val="center"/>
            <w:hideMark/>
          </w:tcPr>
          <w:p w14:paraId="1670A949"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Consolida el marco reglamentario sectorial y ambiental; regula autogeneración a gran escala.</w:t>
            </w:r>
          </w:p>
        </w:tc>
      </w:tr>
      <w:tr w:rsidR="00993DFA" w:rsidRPr="00985B97" w14:paraId="09ACCF0B" w14:textId="77777777" w:rsidTr="003C2C7C">
        <w:trPr>
          <w:trHeight w:val="300"/>
        </w:trPr>
        <w:tc>
          <w:tcPr>
            <w:tcW w:w="1500" w:type="dxa"/>
            <w:noWrap/>
            <w:vAlign w:val="center"/>
            <w:hideMark/>
          </w:tcPr>
          <w:p w14:paraId="55EA5F2E"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2016</w:t>
            </w:r>
          </w:p>
        </w:tc>
        <w:tc>
          <w:tcPr>
            <w:tcW w:w="2375" w:type="dxa"/>
            <w:noWrap/>
            <w:vAlign w:val="center"/>
            <w:hideMark/>
          </w:tcPr>
          <w:p w14:paraId="1B524EBD"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 xml:space="preserve">Resolución UPME 45, Decreto 298, Ley 1819, Resolución 1283 </w:t>
            </w:r>
            <w:proofErr w:type="spellStart"/>
            <w:r w:rsidRPr="00985B97">
              <w:rPr>
                <w:rFonts w:asciiTheme="majorHAnsi" w:hAnsiTheme="majorHAnsi" w:cstheme="majorHAnsi"/>
                <w:color w:val="000000"/>
              </w:rPr>
              <w:t>MinAmbiente</w:t>
            </w:r>
            <w:proofErr w:type="spellEnd"/>
            <w:r w:rsidRPr="00985B97">
              <w:rPr>
                <w:rFonts w:asciiTheme="majorHAnsi" w:hAnsiTheme="majorHAnsi" w:cstheme="majorHAnsi"/>
                <w:color w:val="000000"/>
              </w:rPr>
              <w:t>.</w:t>
            </w:r>
          </w:p>
        </w:tc>
        <w:tc>
          <w:tcPr>
            <w:tcW w:w="2499" w:type="dxa"/>
            <w:noWrap/>
            <w:vAlign w:val="center"/>
            <w:hideMark/>
          </w:tcPr>
          <w:p w14:paraId="3FA37922"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Certificación FNCER, cambio climático, impuesto al carbono</w:t>
            </w:r>
          </w:p>
        </w:tc>
        <w:tc>
          <w:tcPr>
            <w:tcW w:w="3020" w:type="dxa"/>
            <w:noWrap/>
            <w:vAlign w:val="center"/>
            <w:hideMark/>
          </w:tcPr>
          <w:p w14:paraId="7D6AEA56"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Introduce requisitos de certificación, organiza el sistema de cambio climático y crea el impuesto nacional al carbono.</w:t>
            </w:r>
          </w:p>
        </w:tc>
      </w:tr>
      <w:tr w:rsidR="00993DFA" w:rsidRPr="00985B97" w14:paraId="20F7F285" w14:textId="77777777" w:rsidTr="003C2C7C">
        <w:trPr>
          <w:trHeight w:val="300"/>
        </w:trPr>
        <w:tc>
          <w:tcPr>
            <w:tcW w:w="1500" w:type="dxa"/>
            <w:noWrap/>
            <w:vAlign w:val="center"/>
            <w:hideMark/>
          </w:tcPr>
          <w:p w14:paraId="458F9EC1"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2017</w:t>
            </w:r>
          </w:p>
        </w:tc>
        <w:tc>
          <w:tcPr>
            <w:tcW w:w="2375" w:type="dxa"/>
            <w:noWrap/>
            <w:vAlign w:val="center"/>
            <w:hideMark/>
          </w:tcPr>
          <w:p w14:paraId="31CA3013"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Decretos 1543, 348 y 926</w:t>
            </w:r>
          </w:p>
        </w:tc>
        <w:tc>
          <w:tcPr>
            <w:tcW w:w="2499" w:type="dxa"/>
            <w:noWrap/>
            <w:vAlign w:val="center"/>
            <w:hideMark/>
          </w:tcPr>
          <w:p w14:paraId="34A31A33"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FENOGE, gestión energética, carbono neutro</w:t>
            </w:r>
          </w:p>
        </w:tc>
        <w:tc>
          <w:tcPr>
            <w:tcW w:w="3020" w:type="dxa"/>
            <w:noWrap/>
            <w:vAlign w:val="center"/>
            <w:hideMark/>
          </w:tcPr>
          <w:p w14:paraId="7030F370"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Reglamenta el FENOGE, lineamientos de gestión energética y certificación de carbono neutro.</w:t>
            </w:r>
          </w:p>
        </w:tc>
      </w:tr>
      <w:tr w:rsidR="00993DFA" w:rsidRPr="00985B97" w14:paraId="69B07F20" w14:textId="77777777" w:rsidTr="003C2C7C">
        <w:trPr>
          <w:trHeight w:val="300"/>
        </w:trPr>
        <w:tc>
          <w:tcPr>
            <w:tcW w:w="1500" w:type="dxa"/>
            <w:noWrap/>
            <w:vAlign w:val="center"/>
            <w:hideMark/>
          </w:tcPr>
          <w:p w14:paraId="631FA245"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2018</w:t>
            </w:r>
          </w:p>
        </w:tc>
        <w:tc>
          <w:tcPr>
            <w:tcW w:w="2375" w:type="dxa"/>
            <w:noWrap/>
            <w:vAlign w:val="center"/>
            <w:hideMark/>
          </w:tcPr>
          <w:p w14:paraId="4FA1159F"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Resolución CREG 38 y Ley 1931</w:t>
            </w:r>
          </w:p>
        </w:tc>
        <w:tc>
          <w:tcPr>
            <w:tcW w:w="2499" w:type="dxa"/>
            <w:noWrap/>
            <w:vAlign w:val="center"/>
            <w:hideMark/>
          </w:tcPr>
          <w:p w14:paraId="71C74575"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Autogeneración, generación distribuida y cambio climático</w:t>
            </w:r>
          </w:p>
        </w:tc>
        <w:tc>
          <w:tcPr>
            <w:tcW w:w="3020" w:type="dxa"/>
            <w:noWrap/>
            <w:vAlign w:val="center"/>
            <w:hideMark/>
          </w:tcPr>
          <w:p w14:paraId="04C08B66"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Regula ZNI y establece la ley marco de cambio climático.</w:t>
            </w:r>
          </w:p>
        </w:tc>
      </w:tr>
      <w:tr w:rsidR="00993DFA" w:rsidRPr="00985B97" w14:paraId="6212BD6B" w14:textId="77777777" w:rsidTr="003C2C7C">
        <w:trPr>
          <w:trHeight w:val="300"/>
        </w:trPr>
        <w:tc>
          <w:tcPr>
            <w:tcW w:w="1500" w:type="dxa"/>
            <w:noWrap/>
            <w:vAlign w:val="center"/>
            <w:hideMark/>
          </w:tcPr>
          <w:p w14:paraId="3309DBDF"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2019</w:t>
            </w:r>
          </w:p>
        </w:tc>
        <w:tc>
          <w:tcPr>
            <w:tcW w:w="2375" w:type="dxa"/>
            <w:noWrap/>
            <w:vAlign w:val="center"/>
            <w:hideMark/>
          </w:tcPr>
          <w:p w14:paraId="1C44CD69"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Ley 1955, Resolución CREG 60, Ley 1964, Resolución 98.</w:t>
            </w:r>
          </w:p>
        </w:tc>
        <w:tc>
          <w:tcPr>
            <w:tcW w:w="2499" w:type="dxa"/>
            <w:noWrap/>
            <w:vAlign w:val="center"/>
            <w:hideMark/>
          </w:tcPr>
          <w:p w14:paraId="1688EEFE"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PND, conexión de plantas solares/eólicas, vehículos eléctricos, almacenamiento</w:t>
            </w:r>
          </w:p>
        </w:tc>
        <w:tc>
          <w:tcPr>
            <w:tcW w:w="3020" w:type="dxa"/>
            <w:noWrap/>
            <w:vAlign w:val="center"/>
            <w:hideMark/>
          </w:tcPr>
          <w:p w14:paraId="1E454271"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Impulsa transición energética, movilidad eléctrica y almacenamiento en el SIN.</w:t>
            </w:r>
          </w:p>
        </w:tc>
      </w:tr>
      <w:tr w:rsidR="00993DFA" w:rsidRPr="00985B97" w14:paraId="25A8BDEA" w14:textId="77777777" w:rsidTr="003C2C7C">
        <w:trPr>
          <w:trHeight w:val="300"/>
        </w:trPr>
        <w:tc>
          <w:tcPr>
            <w:tcW w:w="1500" w:type="dxa"/>
            <w:noWrap/>
            <w:vAlign w:val="center"/>
            <w:hideMark/>
          </w:tcPr>
          <w:p w14:paraId="03F99FF2"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2020</w:t>
            </w:r>
          </w:p>
        </w:tc>
        <w:tc>
          <w:tcPr>
            <w:tcW w:w="2375" w:type="dxa"/>
            <w:noWrap/>
            <w:vAlign w:val="center"/>
            <w:hideMark/>
          </w:tcPr>
          <w:p w14:paraId="1A79B3E0"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Ley 2056, Decreto 1821, Ley 2036</w:t>
            </w:r>
          </w:p>
        </w:tc>
        <w:tc>
          <w:tcPr>
            <w:tcW w:w="2499" w:type="dxa"/>
            <w:noWrap/>
            <w:vAlign w:val="center"/>
            <w:hideMark/>
          </w:tcPr>
          <w:p w14:paraId="49F64B40"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Regalías y participación territorial en FNCER</w:t>
            </w:r>
          </w:p>
        </w:tc>
        <w:tc>
          <w:tcPr>
            <w:tcW w:w="3020" w:type="dxa"/>
            <w:noWrap/>
            <w:vAlign w:val="center"/>
            <w:hideMark/>
          </w:tcPr>
          <w:p w14:paraId="08B1BCE8"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 xml:space="preserve">Reestructura regalías y promueve participación </w:t>
            </w:r>
            <w:r w:rsidRPr="00985B97">
              <w:rPr>
                <w:rFonts w:asciiTheme="majorHAnsi" w:hAnsiTheme="majorHAnsi" w:cstheme="majorHAnsi"/>
                <w:color w:val="000000"/>
              </w:rPr>
              <w:lastRenderedPageBreak/>
              <w:t>territorial e incentivos tributarios a proyectos FNCER.</w:t>
            </w:r>
          </w:p>
        </w:tc>
      </w:tr>
      <w:tr w:rsidR="00993DFA" w:rsidRPr="00985B97" w14:paraId="6B0F44E7" w14:textId="77777777" w:rsidTr="003C2C7C">
        <w:trPr>
          <w:trHeight w:val="300"/>
        </w:trPr>
        <w:tc>
          <w:tcPr>
            <w:tcW w:w="1500" w:type="dxa"/>
            <w:noWrap/>
            <w:vAlign w:val="center"/>
            <w:hideMark/>
          </w:tcPr>
          <w:p w14:paraId="558A853C"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lastRenderedPageBreak/>
              <w:t>2021</w:t>
            </w:r>
          </w:p>
        </w:tc>
        <w:tc>
          <w:tcPr>
            <w:tcW w:w="2375" w:type="dxa"/>
            <w:noWrap/>
            <w:vAlign w:val="center"/>
            <w:hideMark/>
          </w:tcPr>
          <w:p w14:paraId="3E2636B9"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Ley 2099 y Ley 2169</w:t>
            </w:r>
          </w:p>
        </w:tc>
        <w:tc>
          <w:tcPr>
            <w:tcW w:w="2499" w:type="dxa"/>
            <w:noWrap/>
            <w:vAlign w:val="center"/>
            <w:hideMark/>
          </w:tcPr>
          <w:p w14:paraId="5B0E2E92"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Transición energética y acción climática</w:t>
            </w:r>
          </w:p>
        </w:tc>
        <w:tc>
          <w:tcPr>
            <w:tcW w:w="3020" w:type="dxa"/>
            <w:noWrap/>
            <w:vAlign w:val="center"/>
            <w:hideMark/>
          </w:tcPr>
          <w:p w14:paraId="4A1D8F4C"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Son dos de las leyes más importantes del sector en la década reciente.</w:t>
            </w:r>
          </w:p>
        </w:tc>
      </w:tr>
      <w:tr w:rsidR="00993DFA" w:rsidRPr="00985B97" w14:paraId="7B83ED21" w14:textId="77777777" w:rsidTr="003C2C7C">
        <w:trPr>
          <w:trHeight w:val="300"/>
        </w:trPr>
        <w:tc>
          <w:tcPr>
            <w:tcW w:w="1500" w:type="dxa"/>
            <w:noWrap/>
            <w:vAlign w:val="center"/>
            <w:hideMark/>
          </w:tcPr>
          <w:p w14:paraId="43D33A25"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2021</w:t>
            </w:r>
          </w:p>
        </w:tc>
        <w:tc>
          <w:tcPr>
            <w:tcW w:w="2375" w:type="dxa"/>
            <w:noWrap/>
            <w:vAlign w:val="center"/>
            <w:hideMark/>
          </w:tcPr>
          <w:p w14:paraId="196A6A65"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Resoluciones 39485 y 40362; Resoluciones CREG 148 y 174.</w:t>
            </w:r>
          </w:p>
        </w:tc>
        <w:tc>
          <w:tcPr>
            <w:tcW w:w="2499" w:type="dxa"/>
            <w:noWrap/>
            <w:vAlign w:val="center"/>
            <w:hideMark/>
          </w:tcPr>
          <w:p w14:paraId="22806D13"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Vehículos eléctricos, plantas solares y autogeneración</w:t>
            </w:r>
          </w:p>
        </w:tc>
        <w:tc>
          <w:tcPr>
            <w:tcW w:w="3020" w:type="dxa"/>
            <w:noWrap/>
            <w:vAlign w:val="center"/>
            <w:hideMark/>
          </w:tcPr>
          <w:p w14:paraId="33E53736"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Establecen incentivos y regulan conexión de plantas solares ≥5 MW y autogeneración a pequeña escala.</w:t>
            </w:r>
          </w:p>
        </w:tc>
      </w:tr>
      <w:tr w:rsidR="00993DFA" w:rsidRPr="00985B97" w14:paraId="138E73AF" w14:textId="77777777" w:rsidTr="003C2C7C">
        <w:trPr>
          <w:trHeight w:val="300"/>
        </w:trPr>
        <w:tc>
          <w:tcPr>
            <w:tcW w:w="1500" w:type="dxa"/>
            <w:noWrap/>
            <w:vAlign w:val="center"/>
            <w:hideMark/>
          </w:tcPr>
          <w:p w14:paraId="0F2CF504"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2022</w:t>
            </w:r>
          </w:p>
        </w:tc>
        <w:tc>
          <w:tcPr>
            <w:tcW w:w="2375" w:type="dxa"/>
            <w:noWrap/>
            <w:vAlign w:val="center"/>
            <w:hideMark/>
          </w:tcPr>
          <w:p w14:paraId="4AC04ED4"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Resoluciones y decretos sobre FNCER, hidrógeno, geotermia, FONENERGÍA, FSSRI y cargo por confiabilidad.</w:t>
            </w:r>
          </w:p>
        </w:tc>
        <w:tc>
          <w:tcPr>
            <w:tcW w:w="2499" w:type="dxa"/>
            <w:noWrap/>
            <w:vAlign w:val="center"/>
            <w:hideMark/>
          </w:tcPr>
          <w:p w14:paraId="4E9CF395"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Diversificación tecnológica y fondos sectoriales</w:t>
            </w:r>
          </w:p>
        </w:tc>
        <w:tc>
          <w:tcPr>
            <w:tcW w:w="3020" w:type="dxa"/>
            <w:noWrap/>
            <w:vAlign w:val="center"/>
            <w:hideMark/>
          </w:tcPr>
          <w:p w14:paraId="7639696D"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Amplían regulación en FNCER, hidrógeno, geotermia, subsidios y confiabilidad.</w:t>
            </w:r>
          </w:p>
        </w:tc>
      </w:tr>
      <w:tr w:rsidR="00993DFA" w:rsidRPr="00985B97" w14:paraId="40D55CAE" w14:textId="77777777" w:rsidTr="003C2C7C">
        <w:trPr>
          <w:trHeight w:val="300"/>
        </w:trPr>
        <w:tc>
          <w:tcPr>
            <w:tcW w:w="1500" w:type="dxa"/>
            <w:noWrap/>
            <w:vAlign w:val="center"/>
            <w:hideMark/>
          </w:tcPr>
          <w:p w14:paraId="5AF8C86E"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2023</w:t>
            </w:r>
          </w:p>
        </w:tc>
        <w:tc>
          <w:tcPr>
            <w:tcW w:w="2375" w:type="dxa"/>
            <w:noWrap/>
            <w:vAlign w:val="center"/>
            <w:hideMark/>
          </w:tcPr>
          <w:p w14:paraId="152E0539"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Ley 2294, Resolución DIMAR 47, Resoluciones CREG 101 006 y 101 007, Resoluciones UPME 504 y 610, Resolución 1383, Decretos 2235 y 2236.</w:t>
            </w:r>
          </w:p>
        </w:tc>
        <w:tc>
          <w:tcPr>
            <w:tcW w:w="2499" w:type="dxa"/>
            <w:noWrap/>
            <w:vAlign w:val="center"/>
            <w:hideMark/>
          </w:tcPr>
          <w:p w14:paraId="218B0658"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PND, FNCER marítimas, cargo por confiabilidad, eficiencia energética, hidrógeno blanco, comunidades energéticas</w:t>
            </w:r>
          </w:p>
        </w:tc>
        <w:tc>
          <w:tcPr>
            <w:tcW w:w="3020" w:type="dxa"/>
            <w:noWrap/>
            <w:vAlign w:val="center"/>
            <w:hideMark/>
          </w:tcPr>
          <w:p w14:paraId="6D7F1F01"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Fortalece planeación sectorial y programas estratégicos del gobierno, especialmente comunidades energéticas.</w:t>
            </w:r>
          </w:p>
        </w:tc>
      </w:tr>
      <w:tr w:rsidR="00993DFA" w:rsidRPr="00985B97" w14:paraId="0FEF0FB5" w14:textId="77777777" w:rsidTr="003C2C7C">
        <w:trPr>
          <w:trHeight w:val="300"/>
        </w:trPr>
        <w:tc>
          <w:tcPr>
            <w:tcW w:w="1500" w:type="dxa"/>
            <w:noWrap/>
            <w:vAlign w:val="center"/>
            <w:hideMark/>
          </w:tcPr>
          <w:p w14:paraId="545147AA"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2024</w:t>
            </w:r>
          </w:p>
        </w:tc>
        <w:tc>
          <w:tcPr>
            <w:tcW w:w="2375" w:type="dxa"/>
            <w:noWrap/>
            <w:vAlign w:val="center"/>
            <w:hideMark/>
          </w:tcPr>
          <w:p w14:paraId="4D373766"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Decretos 1598, 1597, 1403, 852; Resoluciones CREG 101 053 y 101 049; Resolución UPME 712; Ley 2407; Resolución 20165.</w:t>
            </w:r>
          </w:p>
        </w:tc>
        <w:tc>
          <w:tcPr>
            <w:tcW w:w="2499" w:type="dxa"/>
            <w:noWrap/>
            <w:vAlign w:val="center"/>
            <w:hideMark/>
          </w:tcPr>
          <w:p w14:paraId="5A551A72"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Geotermia, hidrógeno blanco, autogeneración, almacenamiento, eficiencia energética, licenciamiento ambiental</w:t>
            </w:r>
          </w:p>
        </w:tc>
        <w:tc>
          <w:tcPr>
            <w:tcW w:w="3020" w:type="dxa"/>
            <w:noWrap/>
            <w:vAlign w:val="center"/>
            <w:hideMark/>
          </w:tcPr>
          <w:p w14:paraId="0DE471D1"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Profundiza la regulación de nuevas tecnologías, almacenamiento y uso racional de energía.</w:t>
            </w:r>
          </w:p>
        </w:tc>
      </w:tr>
      <w:tr w:rsidR="00993DFA" w:rsidRPr="00985B97" w14:paraId="29D439CE" w14:textId="77777777" w:rsidTr="003C2C7C">
        <w:trPr>
          <w:trHeight w:val="300"/>
        </w:trPr>
        <w:tc>
          <w:tcPr>
            <w:tcW w:w="1500" w:type="dxa"/>
            <w:noWrap/>
            <w:vAlign w:val="center"/>
            <w:hideMark/>
          </w:tcPr>
          <w:p w14:paraId="613A4FBE"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2025</w:t>
            </w:r>
          </w:p>
        </w:tc>
        <w:tc>
          <w:tcPr>
            <w:tcW w:w="2375" w:type="dxa"/>
            <w:noWrap/>
            <w:vAlign w:val="center"/>
            <w:hideMark/>
          </w:tcPr>
          <w:p w14:paraId="151226AF"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 xml:space="preserve">Decretos 1091, 1072, 972; Resolución 40379 </w:t>
            </w:r>
            <w:r w:rsidRPr="00985B97">
              <w:rPr>
                <w:rFonts w:asciiTheme="majorHAnsi" w:hAnsiTheme="majorHAnsi" w:cstheme="majorHAnsi"/>
                <w:color w:val="000000"/>
              </w:rPr>
              <w:lastRenderedPageBreak/>
              <w:t>MME; Resolución CREG 101 072.</w:t>
            </w:r>
          </w:p>
        </w:tc>
        <w:tc>
          <w:tcPr>
            <w:tcW w:w="2499" w:type="dxa"/>
            <w:noWrap/>
            <w:vAlign w:val="center"/>
            <w:hideMark/>
          </w:tcPr>
          <w:p w14:paraId="7462C84F"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lastRenderedPageBreak/>
              <w:t xml:space="preserve">Contratación de largo plazo, política tarifaria, </w:t>
            </w:r>
            <w:r w:rsidRPr="00985B97">
              <w:rPr>
                <w:rFonts w:asciiTheme="majorHAnsi" w:hAnsiTheme="majorHAnsi" w:cstheme="majorHAnsi"/>
                <w:color w:val="000000"/>
              </w:rPr>
              <w:lastRenderedPageBreak/>
              <w:t>autogeneración remota y comunidades energéticas</w:t>
            </w:r>
          </w:p>
        </w:tc>
        <w:tc>
          <w:tcPr>
            <w:tcW w:w="3020" w:type="dxa"/>
            <w:noWrap/>
            <w:vAlign w:val="center"/>
            <w:hideMark/>
          </w:tcPr>
          <w:p w14:paraId="0CAB7C82"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lastRenderedPageBreak/>
              <w:t xml:space="preserve">Ajusta el marco regulatorio para integración de </w:t>
            </w:r>
            <w:r w:rsidRPr="00985B97">
              <w:rPr>
                <w:rFonts w:asciiTheme="majorHAnsi" w:hAnsiTheme="majorHAnsi" w:cstheme="majorHAnsi"/>
                <w:color w:val="000000"/>
              </w:rPr>
              <w:lastRenderedPageBreak/>
              <w:t>comunidades energéticas y autogeneración en el SIN.</w:t>
            </w:r>
          </w:p>
        </w:tc>
      </w:tr>
      <w:tr w:rsidR="00993DFA" w:rsidRPr="00985B97" w14:paraId="277F71C6" w14:textId="77777777" w:rsidTr="003C2C7C">
        <w:trPr>
          <w:trHeight w:val="300"/>
        </w:trPr>
        <w:tc>
          <w:tcPr>
            <w:tcW w:w="1500" w:type="dxa"/>
            <w:noWrap/>
            <w:vAlign w:val="center"/>
            <w:hideMark/>
          </w:tcPr>
          <w:p w14:paraId="4DBA5E9D"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lastRenderedPageBreak/>
              <w:t>Tratados internacionales</w:t>
            </w:r>
          </w:p>
        </w:tc>
        <w:tc>
          <w:tcPr>
            <w:tcW w:w="2375" w:type="dxa"/>
            <w:noWrap/>
            <w:vAlign w:val="center"/>
            <w:hideMark/>
          </w:tcPr>
          <w:p w14:paraId="01CC9185"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Ley 164 de 1994, Ley 629 de 2000, Ley 1665 de 2013, Ley 1844 de 2017.</w:t>
            </w:r>
          </w:p>
        </w:tc>
        <w:tc>
          <w:tcPr>
            <w:tcW w:w="2499" w:type="dxa"/>
            <w:noWrap/>
            <w:vAlign w:val="center"/>
            <w:hideMark/>
          </w:tcPr>
          <w:p w14:paraId="1FF73EAF"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 xml:space="preserve">CMNUCC, Protocolo de </w:t>
            </w:r>
            <w:proofErr w:type="spellStart"/>
            <w:r w:rsidRPr="00985B97">
              <w:rPr>
                <w:rFonts w:asciiTheme="majorHAnsi" w:hAnsiTheme="majorHAnsi" w:cstheme="majorHAnsi"/>
                <w:color w:val="000000"/>
              </w:rPr>
              <w:t>Kyoto</w:t>
            </w:r>
            <w:proofErr w:type="spellEnd"/>
            <w:r w:rsidRPr="00985B97">
              <w:rPr>
                <w:rFonts w:asciiTheme="majorHAnsi" w:hAnsiTheme="majorHAnsi" w:cstheme="majorHAnsi"/>
                <w:color w:val="000000"/>
              </w:rPr>
              <w:t>, IRENA y Acuerdo de París</w:t>
            </w:r>
          </w:p>
        </w:tc>
        <w:tc>
          <w:tcPr>
            <w:tcW w:w="3020" w:type="dxa"/>
            <w:noWrap/>
            <w:vAlign w:val="center"/>
            <w:hideMark/>
          </w:tcPr>
          <w:p w14:paraId="6B2C8F39" w14:textId="77777777" w:rsidR="00993DFA" w:rsidRPr="00985B97" w:rsidRDefault="00993DFA" w:rsidP="00985B97">
            <w:pPr>
              <w:spacing w:after="0"/>
              <w:rPr>
                <w:rFonts w:asciiTheme="majorHAnsi" w:hAnsiTheme="majorHAnsi" w:cstheme="majorHAnsi"/>
                <w:color w:val="000000"/>
              </w:rPr>
            </w:pPr>
            <w:r w:rsidRPr="00985B97">
              <w:rPr>
                <w:rFonts w:asciiTheme="majorHAnsi" w:hAnsiTheme="majorHAnsi" w:cstheme="majorHAnsi"/>
                <w:color w:val="000000"/>
              </w:rPr>
              <w:t>Vinculan a Colombia al régimen internacional de cambio climático y transición energética.</w:t>
            </w:r>
          </w:p>
        </w:tc>
      </w:tr>
    </w:tbl>
    <w:p w14:paraId="5F3C7A57" w14:textId="77777777" w:rsidR="00993DFA" w:rsidRPr="00985B97" w:rsidRDefault="00993DFA" w:rsidP="00985B97">
      <w:pPr>
        <w:pStyle w:val="Prrafodelista"/>
        <w:ind w:left="0"/>
        <w:jc w:val="both"/>
      </w:pPr>
      <w:r w:rsidRPr="00985B97">
        <w:t>Fuente: elaboración propia.</w:t>
      </w:r>
    </w:p>
    <w:p w14:paraId="2E2E4B66" w14:textId="77777777" w:rsidR="00993DFA" w:rsidRPr="00985B97" w:rsidRDefault="00993DFA" w:rsidP="00985B97">
      <w:pPr>
        <w:pStyle w:val="Prrafodelista"/>
        <w:ind w:left="0"/>
        <w:jc w:val="both"/>
      </w:pPr>
    </w:p>
    <w:p w14:paraId="410F6232" w14:textId="77777777" w:rsidR="00993DFA" w:rsidRPr="00985B97" w:rsidRDefault="00993DFA" w:rsidP="00985B97">
      <w:pPr>
        <w:pStyle w:val="Prrafodelista"/>
        <w:ind w:left="0"/>
        <w:jc w:val="both"/>
      </w:pPr>
      <w:r w:rsidRPr="00985B97">
        <w:t>En 2014 se emitieron varias normas de importancia clave. La ley 1715 de 2014 reguló la integración de Fuentes No Convencionales de Energía al sistema energético del país, siendo uno de los primeros marcos relevantes en materia de Transición Energética Justa</w:t>
      </w:r>
      <w:r w:rsidRPr="00985B97">
        <w:rPr>
          <w:rStyle w:val="Refdenotaalpie"/>
        </w:rPr>
        <w:footnoteReference w:id="1"/>
      </w:r>
      <w:r w:rsidRPr="00985B97">
        <w:t>, y en este marco se emitió el decreto 2469 el mismo año, que reglamentó la entrega de excedentes de autogeneración a la red eléctrica. También el Ministerio de Minas y Energía estableció reglamentación sobre temas de gases de efecto invernadero del Sistema Interconectado Nacional.</w:t>
      </w:r>
    </w:p>
    <w:p w14:paraId="0636DF5A" w14:textId="77777777" w:rsidR="00993DFA" w:rsidRPr="00985B97" w:rsidRDefault="00993DFA" w:rsidP="00985B97">
      <w:pPr>
        <w:pStyle w:val="Prrafodelista"/>
        <w:ind w:left="0"/>
        <w:jc w:val="both"/>
      </w:pPr>
    </w:p>
    <w:p w14:paraId="0223223E" w14:textId="77777777" w:rsidR="00993DFA" w:rsidRPr="00985B97" w:rsidRDefault="00993DFA" w:rsidP="00985B97">
      <w:pPr>
        <w:pStyle w:val="Prrafodelista"/>
        <w:ind w:left="0"/>
        <w:jc w:val="both"/>
      </w:pPr>
      <w:r w:rsidRPr="00985B97">
        <w:t xml:space="preserve">En 2015 se emiten diversas resoluciones, destacando la ley 1753 (Plan Nacional de Desarrollo), el Decreto Único Reglamentario del sector de minas y energía (Decreto 1073 de 2015), el Decreto 1076 de 2015 sobre reglamentación de licencias ambientales y la Resolución 24 de la CREG, que reglamentó la autogeneración a gran escala. </w:t>
      </w:r>
    </w:p>
    <w:p w14:paraId="18E54DE3" w14:textId="77777777" w:rsidR="00993DFA" w:rsidRPr="00985B97" w:rsidRDefault="00993DFA" w:rsidP="00985B97">
      <w:pPr>
        <w:pStyle w:val="Prrafodelista"/>
        <w:ind w:left="0"/>
        <w:jc w:val="both"/>
      </w:pPr>
    </w:p>
    <w:p w14:paraId="2FE9BB22" w14:textId="77777777" w:rsidR="00993DFA" w:rsidRPr="00985B97" w:rsidRDefault="00993DFA" w:rsidP="00985B97">
      <w:pPr>
        <w:pStyle w:val="Prrafodelista"/>
        <w:ind w:left="0"/>
        <w:jc w:val="both"/>
      </w:pPr>
      <w:r w:rsidRPr="00985B97">
        <w:t xml:space="preserve">En 2016 se emitió la Resolución 45 de 2016 de la UPME, relacionada con los requisitos para emitir certificaciones para proyectos FNCER; el Decreto 298 de 2016, que estableció la organización del Sistema Nacional de Cambio Climático; la Ley 1819 que creó el impuesto nacional al carbono y la Resolución 1283 </w:t>
      </w:r>
      <w:r w:rsidRPr="00985B97">
        <w:lastRenderedPageBreak/>
        <w:t>del Ministerio de Ambiente, que estableció procedimientos y requisitos para certificación de beneficios ambientales en proyectos FNCER y gestión eficiente de energía.</w:t>
      </w:r>
    </w:p>
    <w:p w14:paraId="34BCE4A3" w14:textId="77777777" w:rsidR="00993DFA" w:rsidRPr="00985B97" w:rsidRDefault="00993DFA" w:rsidP="00985B97">
      <w:pPr>
        <w:pStyle w:val="Prrafodelista"/>
        <w:ind w:left="0"/>
        <w:jc w:val="both"/>
      </w:pPr>
    </w:p>
    <w:p w14:paraId="4D9C2086" w14:textId="77777777" w:rsidR="00993DFA" w:rsidRPr="00985B97" w:rsidRDefault="00993DFA" w:rsidP="00985B97">
      <w:pPr>
        <w:pStyle w:val="Prrafodelista"/>
        <w:ind w:left="0"/>
        <w:jc w:val="both"/>
      </w:pPr>
      <w:r w:rsidRPr="00985B97">
        <w:t>En 2017 se reglamentó el FENOGE (Decreto 1543 de 2017), se emitió el Decreto 348 (lineamientos de gestión energética) y se emitió el decreto 926 (reglamentó el procedimiento de certificación de carbono neutro para no causación del impuesto de carbono).</w:t>
      </w:r>
    </w:p>
    <w:p w14:paraId="79989050" w14:textId="77777777" w:rsidR="00993DFA" w:rsidRPr="00985B97" w:rsidRDefault="00993DFA" w:rsidP="00985B97">
      <w:pPr>
        <w:pStyle w:val="Prrafodelista"/>
        <w:ind w:left="0"/>
        <w:jc w:val="both"/>
      </w:pPr>
    </w:p>
    <w:p w14:paraId="6CE552E2" w14:textId="77777777" w:rsidR="00993DFA" w:rsidRPr="00985B97" w:rsidRDefault="00993DFA" w:rsidP="00985B97">
      <w:pPr>
        <w:pStyle w:val="Prrafodelista"/>
        <w:ind w:left="0"/>
        <w:jc w:val="both"/>
      </w:pPr>
      <w:r w:rsidRPr="00985B97">
        <w:t xml:space="preserve">En 2018 se emitió la Resolución 38 de dicho año de la CREG, sobre autogeneración y generación distribuida en ZNI </w:t>
      </w:r>
      <w:proofErr w:type="gramStart"/>
      <w:r w:rsidRPr="00985B97">
        <w:t>y</w:t>
      </w:r>
      <w:proofErr w:type="gramEnd"/>
      <w:r w:rsidRPr="00985B97">
        <w:t xml:space="preserve"> sobre todo, se publicó la ley 1931 de 2018, que es la ley sobre cambio climático. Además, en 2019 se emitió el Plan Nacional de Desarrollo 2018-2022 mediante la ley 1955; la CREG expidió la resolución 60 de 2019, que reglamentó la operación de conexión de plantas solares fotovoltaicas y eólicas del Sistema Interconectado Nacional; se expidió la Ley 1964 (sobre vehículos eléctricos) y la Resolución 98 de 2019 (reglamentación de sistemas de almacenamiento en el SIN)</w:t>
      </w:r>
    </w:p>
    <w:p w14:paraId="34A991D4" w14:textId="77777777" w:rsidR="00993DFA" w:rsidRPr="00985B97" w:rsidRDefault="00993DFA" w:rsidP="00985B97">
      <w:pPr>
        <w:pStyle w:val="Prrafodelista"/>
        <w:ind w:left="0"/>
        <w:jc w:val="both"/>
      </w:pPr>
    </w:p>
    <w:p w14:paraId="684C30E1" w14:textId="77777777" w:rsidR="00993DFA" w:rsidRPr="00985B97" w:rsidRDefault="00993DFA" w:rsidP="00985B97">
      <w:pPr>
        <w:pStyle w:val="Prrafodelista"/>
        <w:ind w:left="0"/>
        <w:jc w:val="both"/>
      </w:pPr>
      <w:r w:rsidRPr="00985B97">
        <w:t>En la década de 2020 hay una importante cantidad de regulaciones, con mayor frecuencia incluso que en la década anterior. Con la ley 2056 se estableció el Sistema General de regalías y se reglamentó Decreto 1821. También se publicó la ley 2036, que promocionó la participación de entidades territoriales en proyectos FNCER y se reglamentó la estructura de incentivos tributarios a la generación de energía eléctrica a partir de proyectos FNCER.</w:t>
      </w:r>
    </w:p>
    <w:p w14:paraId="4DFC10CA" w14:textId="77777777" w:rsidR="00993DFA" w:rsidRPr="00985B97" w:rsidRDefault="00993DFA" w:rsidP="00985B97">
      <w:pPr>
        <w:pStyle w:val="Prrafodelista"/>
        <w:ind w:left="0"/>
        <w:jc w:val="both"/>
      </w:pPr>
    </w:p>
    <w:p w14:paraId="5A1CE22F" w14:textId="77777777" w:rsidR="00993DFA" w:rsidRPr="00985B97" w:rsidRDefault="00993DFA" w:rsidP="00985B97">
      <w:pPr>
        <w:pStyle w:val="Prrafodelista"/>
        <w:ind w:left="0"/>
        <w:jc w:val="both"/>
      </w:pPr>
      <w:r w:rsidRPr="00985B97">
        <w:t>El año 2021 estableció dos de las leyes más importantes del sector minero energético, la ley 2099 que es la Ley de Transición Energética, y la ley 2169, que es la ley de acción climática. También se establecieron incentivos para la compra de vehículos eléctricos mediante la resolución 39485 del Ministerio de Ambiente y con la resolución 40362 se reglamentaron los vehículos eléctricos y los sistemas de transporte masivo eléctrico. Además, se reglamentó la conexión de plantas solares de mayor o igual capacidad a 5 MW y se reglamentó la autogeneración a pequeña escala (resoluciones 148 y 174 de la CREG, respectivamente).</w:t>
      </w:r>
    </w:p>
    <w:p w14:paraId="211E05E2" w14:textId="77777777" w:rsidR="00993DFA" w:rsidRPr="00985B97" w:rsidRDefault="00993DFA" w:rsidP="00985B97">
      <w:pPr>
        <w:pStyle w:val="Prrafodelista"/>
        <w:ind w:left="0"/>
        <w:jc w:val="both"/>
      </w:pPr>
    </w:p>
    <w:p w14:paraId="17D47CA8" w14:textId="77777777" w:rsidR="00993DFA" w:rsidRPr="00985B97" w:rsidRDefault="00993DFA" w:rsidP="00985B97">
      <w:pPr>
        <w:pStyle w:val="Prrafodelista"/>
        <w:ind w:left="0"/>
        <w:jc w:val="both"/>
      </w:pPr>
      <w:r w:rsidRPr="00985B97">
        <w:t xml:space="preserve">En 2022 se emitieron resoluciones sobre reglamentación en diversas dimensiones de proyectos FNCER (Resolución CREG 101 011de la CREG, Decreto 895 del MME que versa sobre incentivos, Decreto 1318 que </w:t>
      </w:r>
      <w:r w:rsidRPr="00985B97">
        <w:lastRenderedPageBreak/>
        <w:t>versa sobre geotermia, Decreto 1537, 1476 y resolución 468 sobre hidrógeno), sobre el Fondo de Soluciones Energéticas (FONENERGIA, mediante el Decreto 1580 de 2022 y la Resolución 40045 del MME) y el FSSRI (Resolución 40241 del MME) y temas de Cargo por Confiabilidad (Resolución 101 024 de la CREG).</w:t>
      </w:r>
    </w:p>
    <w:p w14:paraId="4DBEEC6E" w14:textId="77777777" w:rsidR="00993DFA" w:rsidRPr="00985B97" w:rsidRDefault="00993DFA" w:rsidP="00985B97">
      <w:pPr>
        <w:pStyle w:val="Prrafodelista"/>
        <w:ind w:left="0"/>
        <w:jc w:val="both"/>
      </w:pPr>
    </w:p>
    <w:p w14:paraId="30812907" w14:textId="77777777" w:rsidR="00993DFA" w:rsidRPr="00985B97" w:rsidRDefault="00993DFA" w:rsidP="00985B97">
      <w:pPr>
        <w:pStyle w:val="Prrafodelista"/>
        <w:ind w:left="0"/>
        <w:jc w:val="both"/>
      </w:pPr>
      <w:r w:rsidRPr="00985B97">
        <w:t xml:space="preserve">En 2023 se aprobó el Plan Nacional de Desarrollo 2022-2026 (Ley 2294); se emitió la resolución 47 de 2023 de la Dimar, que reglamentó criterios técnicos para concesiones en proyectos FNCER (aunada a la resolución 40712 del MME sobre el tema en áreas marítimas);  se tomaron definiciones sobre cargo por confiabilidad (Resolución 101 006 y 101 007 de la CREG), se actualizaron elementos de bienes y servicios para uso eficiente de la energía (Resolución 504 de la UPME) y para proyectos de generación FNCER (Resolución 610 de la UPME); </w:t>
      </w:r>
      <w:proofErr w:type="spellStart"/>
      <w:r w:rsidRPr="00985B97">
        <w:t>Minambiente</w:t>
      </w:r>
      <w:proofErr w:type="spellEnd"/>
      <w:r w:rsidRPr="00985B97">
        <w:t xml:space="preserve"> reglamentó el Sistema de Información sobre Cambio Climático (Resolución 1383 de 2023); se reglamentó el desarrollo de proyectos de hidrógeno blanco (Decreto 2235) y se reglamentó uno de los programas fundamentales de este gobierno, las Comunidades Energéticas (decreto 2236, año siguiente se reglamente el Registro de Comunidades Energéticas mediante la resolución 40509 del MME).</w:t>
      </w:r>
    </w:p>
    <w:p w14:paraId="660FCF0D" w14:textId="77777777" w:rsidR="00993DFA" w:rsidRPr="00985B97" w:rsidRDefault="00993DFA" w:rsidP="00985B97">
      <w:pPr>
        <w:pStyle w:val="Prrafodelista"/>
        <w:ind w:left="0"/>
        <w:jc w:val="both"/>
      </w:pPr>
    </w:p>
    <w:p w14:paraId="078719F1" w14:textId="77777777" w:rsidR="00993DFA" w:rsidRPr="00985B97" w:rsidRDefault="00993DFA" w:rsidP="00985B97">
      <w:pPr>
        <w:pStyle w:val="Prrafodelista"/>
        <w:ind w:left="0"/>
        <w:jc w:val="both"/>
      </w:pPr>
      <w:r w:rsidRPr="00985B97">
        <w:t xml:space="preserve">En 2024 se emitieron diversas normatividades, destacando las siguientes. Se tomaron decisiones regulatorias en materia de geotermia (Decreto 1598) e hidrógeno (Decreto 1597 para hidrógeno blanco). Además, se toman medidas sobre autogeneración y producción marginal sin excedentes de energía (Decreto 1403 del MME); entregas de excedentes de energía por parte de </w:t>
      </w:r>
      <w:proofErr w:type="spellStart"/>
      <w:r w:rsidRPr="00985B97">
        <w:t>autogeneradores</w:t>
      </w:r>
      <w:proofErr w:type="spellEnd"/>
      <w:r w:rsidRPr="00985B97">
        <w:t>, fechas de puesta en operación y garantías para proyectos de energía eléctrica, además de almacenamiento con baterías (Resoluciones 101 053 y 101 049 de la CREG). También se emitieron normatividades alrededor de uso eficiente de energía como la resolución 712 de la UPME y la ley 2407. Esta última incentivó construcciones sostenibles y promovió el uso racional de la energía en entidades públicas. También hubo modificaciones de competencias en materia de licenciamiento ambiental en proyectos de energía (Decreto 852), se establecieron los parámetros para el Programa de Sustitución de Leña, Carbón y Residuos por energéticos de transición de gas combustible para cocción (Resolución 20165 del MME), entre otras medidas.</w:t>
      </w:r>
    </w:p>
    <w:p w14:paraId="64FADB76" w14:textId="77777777" w:rsidR="00993DFA" w:rsidRPr="00985B97" w:rsidRDefault="00993DFA" w:rsidP="00985B97">
      <w:pPr>
        <w:pStyle w:val="Prrafodelista"/>
        <w:ind w:left="0"/>
        <w:jc w:val="both"/>
      </w:pPr>
    </w:p>
    <w:p w14:paraId="06C21E74" w14:textId="77777777" w:rsidR="00993DFA" w:rsidRPr="00985B97" w:rsidRDefault="00993DFA" w:rsidP="00985B97">
      <w:pPr>
        <w:pStyle w:val="Prrafodelista"/>
        <w:ind w:left="0"/>
        <w:jc w:val="both"/>
      </w:pPr>
      <w:r w:rsidRPr="00985B97">
        <w:lastRenderedPageBreak/>
        <w:t>Durante 2025 se tomaron también importantes definiciones regulatorias. Se tomaron definiciones para contratación de largo plazo en materia de energía eléctrica (Decreto 1091 del MME), se definieron lineamientos de política pública en materia tarifaria (Decreto 1072), se emitió el Decreto 972 para la autogeneración de usuarios de estratos 1,2 y 3; se definió la autogeneración remota (Resolución 40379 del MME), se armonizó la regulación para integrar a las Comunidades Energéticas al Sistema Interconectado Nacional (Resolución 101 072 de la CREG), entre otras.</w:t>
      </w:r>
    </w:p>
    <w:p w14:paraId="601700C9" w14:textId="77777777" w:rsidR="00993DFA" w:rsidRPr="00985B97" w:rsidRDefault="00993DFA" w:rsidP="00985B97">
      <w:pPr>
        <w:pStyle w:val="Prrafodelista"/>
        <w:ind w:left="0"/>
        <w:jc w:val="both"/>
      </w:pPr>
    </w:p>
    <w:p w14:paraId="6D860525" w14:textId="77777777" w:rsidR="00993DFA" w:rsidRPr="00985B97" w:rsidRDefault="00993DFA" w:rsidP="00985B97">
      <w:pPr>
        <w:pStyle w:val="Prrafodelista"/>
        <w:ind w:left="0"/>
        <w:jc w:val="both"/>
      </w:pPr>
      <w:r w:rsidRPr="00985B97">
        <w:t xml:space="preserve">En materia de tratados internacionales, en 1994 se publicó la ley 164, que aprobó la Convención Marco de Naciones Unidas sobre Cambio Climático. En el año 200 se aprobó la ley 629 que suscribió el Protocolo de </w:t>
      </w:r>
      <w:proofErr w:type="spellStart"/>
      <w:r w:rsidRPr="00985B97">
        <w:t>Kyoto</w:t>
      </w:r>
      <w:proofErr w:type="spellEnd"/>
      <w:r w:rsidRPr="00985B97">
        <w:t xml:space="preserve">. En 2013, mediante la Ley 1665 de 2013 se estableció la Adopción del Estatuto del IRENA y mediante la ley 1844 de 2017 se adoptó el Acuerdo de París. </w:t>
      </w:r>
    </w:p>
    <w:p w14:paraId="49804C62" w14:textId="77777777" w:rsidR="00993DFA" w:rsidRPr="00985B97" w:rsidRDefault="00993DFA" w:rsidP="00A86834">
      <w:pPr>
        <w:pStyle w:val="Ttulo1"/>
      </w:pPr>
      <w:bookmarkStart w:id="105" w:name="_Toc235107980"/>
      <w:r w:rsidRPr="00985B97">
        <w:t>Metodología</w:t>
      </w:r>
      <w:bookmarkEnd w:id="105"/>
    </w:p>
    <w:p w14:paraId="59FF33D3" w14:textId="77777777" w:rsidR="00993DFA" w:rsidRPr="00985B97" w:rsidRDefault="00993DFA" w:rsidP="00985B97">
      <w:pPr>
        <w:pStyle w:val="Prrafodelista"/>
        <w:ind w:left="567" w:hanging="567"/>
        <w:jc w:val="both"/>
      </w:pPr>
    </w:p>
    <w:p w14:paraId="2E7418E5" w14:textId="77777777" w:rsidR="00993DFA" w:rsidRPr="00985B97" w:rsidRDefault="00993DFA" w:rsidP="00985B97">
      <w:pPr>
        <w:pStyle w:val="Prrafodelista"/>
        <w:ind w:left="0"/>
        <w:jc w:val="both"/>
        <w:rPr>
          <w:lang w:val="es-ES"/>
        </w:rPr>
      </w:pPr>
      <w:r w:rsidRPr="00985B97">
        <w:rPr>
          <w:lang w:val="es-ES"/>
        </w:rPr>
        <w:t>La investigación es un estudio de carácter mixto, utilizando herramientas cualitativas y cuantitativas para comprender en profundidad las dinámicas institucionales, las percepciones y propuestas de los actores y la construcción de una serie de recomendaciones de política pública desde la perspectiva del Ministerio, que se dividen de la siguiente manera:</w:t>
      </w:r>
    </w:p>
    <w:p w14:paraId="36EBCA9B" w14:textId="77777777" w:rsidR="00993DFA" w:rsidRPr="00985B97" w:rsidRDefault="00993DFA" w:rsidP="00A86834">
      <w:pPr>
        <w:pStyle w:val="Ttulo1"/>
      </w:pPr>
      <w:bookmarkStart w:id="106" w:name="_Toc235107981"/>
      <w:r w:rsidRPr="00985B97">
        <w:t>Capítulo 1</w:t>
      </w:r>
      <w:bookmarkEnd w:id="106"/>
    </w:p>
    <w:p w14:paraId="0EC865BE" w14:textId="77777777" w:rsidR="00993DFA" w:rsidRPr="00985B97" w:rsidRDefault="00993DFA" w:rsidP="00985B97">
      <w:pPr>
        <w:jc w:val="both"/>
      </w:pPr>
      <w:r w:rsidRPr="00985B97">
        <w:t>La pregunta que guiará este capítulo es: ¿Qué experiencias y aprendizajes se extraen de casos de países en Transición Energética a nival global en contraste con el caso colombiano? Para ello se realizará una revisión documental que comprende:</w:t>
      </w:r>
    </w:p>
    <w:p w14:paraId="38F3DDCD" w14:textId="77777777" w:rsidR="00993DFA" w:rsidRPr="00985B97" w:rsidRDefault="00993DFA" w:rsidP="00721806">
      <w:pPr>
        <w:pStyle w:val="Prrafodelista"/>
        <w:numPr>
          <w:ilvl w:val="0"/>
          <w:numId w:val="56"/>
        </w:numPr>
        <w:jc w:val="both"/>
      </w:pPr>
      <w:r w:rsidRPr="00985B97">
        <w:t xml:space="preserve">Benchmarking normativo: Recopilación y análisis sistemático de documentos de fuentes primarias y secundarias comparando en tres dimensiones (Arquitectura institucional del sector eléctrico, políticas públicas de fomento de transición energética y políticas fiscales de transición energética) el caso colombiano con otros casos alrededor del mundo. </w:t>
      </w:r>
    </w:p>
    <w:p w14:paraId="7E90C8A7" w14:textId="77777777" w:rsidR="00993DFA" w:rsidRPr="00985B97" w:rsidRDefault="00993DFA" w:rsidP="00721806">
      <w:pPr>
        <w:pStyle w:val="Prrafodelista"/>
        <w:numPr>
          <w:ilvl w:val="0"/>
          <w:numId w:val="56"/>
        </w:numPr>
        <w:jc w:val="both"/>
        <w:rPr>
          <w:lang w:val="es-ES"/>
        </w:rPr>
      </w:pPr>
      <w:r w:rsidRPr="00985B97">
        <w:lastRenderedPageBreak/>
        <w:t>Aplicación de cuestionario: Se aplicará un cuestionario para identificar políticas, prácticas, barreras y prioridades para la implementación de la TEJ a grupos de interés, incluyendo entidades adscritas al Ministerio de Minas y Energía, empresas del subsector eléctrico y organizaciones de la sociedad civil.</w:t>
      </w:r>
    </w:p>
    <w:p w14:paraId="136E9DF1" w14:textId="77777777" w:rsidR="00F37424" w:rsidRPr="00985B97" w:rsidRDefault="00993DFA" w:rsidP="00985B97">
      <w:pPr>
        <w:pStyle w:val="Ttulo2"/>
        <w:rPr>
          <w:sz w:val="22"/>
          <w:szCs w:val="22"/>
          <w:lang w:val="es-ES"/>
        </w:rPr>
      </w:pPr>
      <w:bookmarkStart w:id="107" w:name="_Hlk235094692"/>
      <w:r w:rsidRPr="00985B97">
        <w:rPr>
          <w:sz w:val="22"/>
          <w:szCs w:val="22"/>
          <w:lang w:val="es-ES"/>
        </w:rPr>
        <w:t xml:space="preserve"> </w:t>
      </w:r>
      <w:bookmarkStart w:id="108" w:name="_Toc235107982"/>
      <w:bookmarkEnd w:id="107"/>
      <w:r w:rsidR="00F37424" w:rsidRPr="00985B97">
        <w:rPr>
          <w:sz w:val="22"/>
          <w:szCs w:val="22"/>
        </w:rPr>
        <w:t>Caracterización de países</w:t>
      </w:r>
      <w:bookmarkEnd w:id="108"/>
    </w:p>
    <w:p w14:paraId="15ADCFFD" w14:textId="77777777" w:rsidR="00F37424" w:rsidRPr="00985B97" w:rsidRDefault="00F37424" w:rsidP="00985B97">
      <w:pPr>
        <w:pStyle w:val="Ttulo3"/>
        <w:rPr>
          <w:sz w:val="22"/>
          <w:szCs w:val="22"/>
        </w:rPr>
      </w:pPr>
      <w:bookmarkStart w:id="109" w:name="_Toc235107983"/>
      <w:r w:rsidRPr="00985B97">
        <w:rPr>
          <w:sz w:val="22"/>
          <w:szCs w:val="22"/>
        </w:rPr>
        <w:t>Alemania</w:t>
      </w:r>
      <w:bookmarkEnd w:id="109"/>
    </w:p>
    <w:p w14:paraId="4810E18B" w14:textId="77777777" w:rsidR="00F37424" w:rsidRPr="00985B97" w:rsidRDefault="00F37424" w:rsidP="00985B97">
      <w:pPr>
        <w:jc w:val="both"/>
      </w:pPr>
      <w:r w:rsidRPr="00985B97">
        <w:t xml:space="preserve">El sector eléctrico alemán se ha desplegado durante el siglo XX y XXI con cuatro características estructurales o, como lo denomina </w:t>
      </w:r>
      <w:proofErr w:type="spellStart"/>
      <w:r w:rsidRPr="00985B97">
        <w:t>Kemmerzell</w:t>
      </w:r>
      <w:proofErr w:type="spellEnd"/>
      <w:r w:rsidRPr="00985B97">
        <w:t xml:space="preserve"> (2022), “legados”. El primero es un uso predominante de carbón doméstico (con un fin de la minería de hulla en 2018); el segundo es el uso de energía nuclear con un fuerte apoyo público, aunque con una suerte inestable por los procesos políticos internos sobre el uso de este energético; el tercero, una industria energética altamente concentrada y dependiente de monopolios regionales legales, que culminó en la existencia de las “cuatro grandes” empresas del sector eléctrico, que mantienen un gran poder de mercado del sector (</w:t>
      </w:r>
      <w:proofErr w:type="spellStart"/>
      <w:r w:rsidRPr="00985B97">
        <w:t>Eon</w:t>
      </w:r>
      <w:proofErr w:type="spellEnd"/>
      <w:r w:rsidRPr="00985B97">
        <w:t xml:space="preserve">, RWE, </w:t>
      </w:r>
      <w:proofErr w:type="spellStart"/>
      <w:r w:rsidRPr="00985B97">
        <w:t>Vattenfall</w:t>
      </w:r>
      <w:proofErr w:type="spellEnd"/>
      <w:r w:rsidRPr="00985B97">
        <w:t xml:space="preserve">, y </w:t>
      </w:r>
      <w:proofErr w:type="spellStart"/>
      <w:r w:rsidRPr="00985B97">
        <w:t>EnBW</w:t>
      </w:r>
      <w:proofErr w:type="spellEnd"/>
      <w:r w:rsidRPr="00985B97">
        <w:t xml:space="preserve">)  y por último proceso de pluralización del sector con el proceso de integración europea y el ascenso de las renovables (pp. 669-672). Lo anterior es consistente con lo indicado por Schiffer y </w:t>
      </w:r>
      <w:proofErr w:type="spellStart"/>
      <w:r w:rsidRPr="00985B97">
        <w:t>Trüby</w:t>
      </w:r>
      <w:proofErr w:type="spellEnd"/>
      <w:r w:rsidRPr="00985B97">
        <w:t xml:space="preserve"> (2018), que señalaron que, hasta la década de 1990, los mercados de energía y gas eran gestionados como monopolios regionales y sujetos a la regulación estatal, pero en 1998 se viró a la privatización y la desregularización (p. 2). </w:t>
      </w:r>
    </w:p>
    <w:p w14:paraId="4AA97A05" w14:textId="77777777" w:rsidR="00F37424" w:rsidRPr="00985B97" w:rsidRDefault="00F37424" w:rsidP="00985B97">
      <w:pPr>
        <w:jc w:val="both"/>
      </w:pPr>
      <w:r w:rsidRPr="00985B97">
        <w:t>Ahora, la Transición Energética Alemana (</w:t>
      </w:r>
      <w:proofErr w:type="spellStart"/>
      <w:r w:rsidRPr="00985B97">
        <w:t>Energiewende</w:t>
      </w:r>
      <w:proofErr w:type="spellEnd"/>
      <w:r w:rsidRPr="00985B97">
        <w:t>) tiene orígenes en los movimientos antinucleares de la década de 1970. Además, fue un término acuñado por el Instituto Alemán de Tecnología Aplicada en 1980, y tuvo su punto de inflexión en la década de los 2000 cuando la coalición de gobierno entre el SPD (Partido Socialdemócrata Alemán) y Alianza90/Los Verdes (Partido de carácter ecologista de centro izquierda) lograron un acuerdo para reducir las plantas nucleares antes de 2022 (García, 2013, p. 24)</w:t>
      </w:r>
    </w:p>
    <w:p w14:paraId="62BAFA90" w14:textId="77777777" w:rsidR="00F37424" w:rsidRPr="00985B97" w:rsidRDefault="00F37424" w:rsidP="00985B97">
      <w:pPr>
        <w:jc w:val="both"/>
      </w:pPr>
      <w:r w:rsidRPr="00985B97">
        <w:t xml:space="preserve">Si bien lo tocante frente a energías renovables ya tenía inicios a partir de la década de 1990, la Ley de Fuentes de Energías Renovables del año 2000 fue una forma en la que se incentivaron las entradas de estos energéticos. Esta ley garantiza una tarifa por un período de 20 años después de la puesta en marcha del proyecto, y los operadores de red están obligados a garantizar prioridad y compra de energía renovable. El costo de la tarifa es trasladado a los consumidores finales con una sobretasa (Schiffer y </w:t>
      </w:r>
      <w:proofErr w:type="spellStart"/>
      <w:r w:rsidRPr="00985B97">
        <w:t>Trüby</w:t>
      </w:r>
      <w:proofErr w:type="spellEnd"/>
      <w:r w:rsidRPr="00985B97">
        <w:t xml:space="preserve">, </w:t>
      </w:r>
      <w:r w:rsidRPr="00985B97">
        <w:lastRenderedPageBreak/>
        <w:t>2018, pp. 2-3). El impacto de esta política se ha reflejado en la forma en la que ha evolucionado la capacidad instalada de generación de Alemania por fuente, como se puede ver en la siguiente figura.</w:t>
      </w:r>
    </w:p>
    <w:p w14:paraId="3A2B63F8" w14:textId="77777777" w:rsidR="00F37424" w:rsidRPr="00985B97" w:rsidRDefault="00F37424" w:rsidP="00985B97">
      <w:pPr>
        <w:jc w:val="both"/>
      </w:pPr>
      <w:r w:rsidRPr="00985B97">
        <w:rPr>
          <w:b/>
          <w:bCs/>
        </w:rPr>
        <w:t>Figura 1</w:t>
      </w:r>
      <w:r w:rsidRPr="00985B97">
        <w:t>. Capacidad instalada de generación eléctrica por fuente en Alemania (1990-2020).</w:t>
      </w:r>
    </w:p>
    <w:p w14:paraId="2DA6EC06" w14:textId="77777777" w:rsidR="00F37424" w:rsidRPr="00985B97" w:rsidRDefault="00F37424" w:rsidP="00985B97">
      <w:pPr>
        <w:jc w:val="both"/>
      </w:pPr>
      <w:r w:rsidRPr="00985B97">
        <w:rPr>
          <w:noProof/>
        </w:rPr>
        <w:drawing>
          <wp:inline distT="0" distB="0" distL="0" distR="0" wp14:anchorId="54719B42" wp14:editId="255E2671">
            <wp:extent cx="5303980" cy="3215919"/>
            <wp:effectExtent l="0" t="0" r="0" b="3810"/>
            <wp:docPr id="7135441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544126" name=""/>
                    <pic:cNvPicPr/>
                  </pic:nvPicPr>
                  <pic:blipFill>
                    <a:blip r:embed="rId52"/>
                    <a:stretch>
                      <a:fillRect/>
                    </a:stretch>
                  </pic:blipFill>
                  <pic:spPr>
                    <a:xfrm>
                      <a:off x="0" y="0"/>
                      <a:ext cx="5303980" cy="3215919"/>
                    </a:xfrm>
                    <a:prstGeom prst="rect">
                      <a:avLst/>
                    </a:prstGeom>
                  </pic:spPr>
                </pic:pic>
              </a:graphicData>
            </a:graphic>
          </wp:inline>
        </w:drawing>
      </w:r>
    </w:p>
    <w:p w14:paraId="77B96E3B" w14:textId="77777777" w:rsidR="00F37424" w:rsidRPr="00985B97" w:rsidRDefault="00F37424" w:rsidP="00985B97">
      <w:pPr>
        <w:jc w:val="center"/>
        <w:rPr>
          <w:rFonts w:asciiTheme="majorHAnsi" w:hAnsiTheme="majorHAnsi" w:cstheme="majorHAnsi"/>
        </w:rPr>
      </w:pPr>
      <w:r w:rsidRPr="00985B97">
        <w:rPr>
          <w:rFonts w:asciiTheme="majorHAnsi" w:hAnsiTheme="majorHAnsi" w:cstheme="majorHAnsi"/>
        </w:rPr>
        <w:t xml:space="preserve">Fuente: </w:t>
      </w:r>
      <w:proofErr w:type="spellStart"/>
      <w:r w:rsidRPr="00985B97">
        <w:rPr>
          <w:rFonts w:asciiTheme="majorHAnsi" w:hAnsiTheme="majorHAnsi" w:cstheme="majorHAnsi"/>
        </w:rPr>
        <w:t>BMWi</w:t>
      </w:r>
      <w:proofErr w:type="spellEnd"/>
      <w:r w:rsidRPr="00985B97">
        <w:rPr>
          <w:rFonts w:asciiTheme="majorHAnsi" w:hAnsiTheme="majorHAnsi" w:cstheme="majorHAnsi"/>
        </w:rPr>
        <w:t xml:space="preserve">, citado por </w:t>
      </w:r>
      <w:proofErr w:type="spellStart"/>
      <w:r w:rsidRPr="00985B97">
        <w:rPr>
          <w:rFonts w:asciiTheme="majorHAnsi" w:hAnsiTheme="majorHAnsi" w:cstheme="majorHAnsi"/>
        </w:rPr>
        <w:t>Kemmerzell</w:t>
      </w:r>
      <w:proofErr w:type="spellEnd"/>
      <w:r w:rsidRPr="00985B97">
        <w:rPr>
          <w:rFonts w:asciiTheme="majorHAnsi" w:hAnsiTheme="majorHAnsi" w:cstheme="majorHAnsi"/>
        </w:rPr>
        <w:t xml:space="preserve"> (2022, p.674).</w:t>
      </w:r>
    </w:p>
    <w:p w14:paraId="1FC6B549" w14:textId="77777777" w:rsidR="00F37424" w:rsidRPr="00985B97" w:rsidRDefault="00F37424" w:rsidP="00985B97">
      <w:pPr>
        <w:jc w:val="both"/>
        <w:rPr>
          <w:rFonts w:asciiTheme="majorHAnsi" w:hAnsiTheme="majorHAnsi" w:cstheme="majorHAnsi"/>
        </w:rPr>
      </w:pPr>
      <w:r w:rsidRPr="00985B97">
        <w:rPr>
          <w:rFonts w:asciiTheme="majorHAnsi" w:hAnsiTheme="majorHAnsi" w:cstheme="majorHAnsi"/>
        </w:rPr>
        <w:t>En materia de la arquitectura institucional del sector, cabe señalar que está determinado e influenciado por la estructura del sistema político alemán mismo, que es federal, y depende tanto del nivel central federal como de los “</w:t>
      </w:r>
      <w:proofErr w:type="spellStart"/>
      <w:r w:rsidRPr="00985B97">
        <w:rPr>
          <w:rFonts w:asciiTheme="majorHAnsi" w:hAnsiTheme="majorHAnsi" w:cstheme="majorHAnsi"/>
        </w:rPr>
        <w:t>Länder</w:t>
      </w:r>
      <w:proofErr w:type="spellEnd"/>
      <w:r w:rsidRPr="00985B97">
        <w:rPr>
          <w:rFonts w:asciiTheme="majorHAnsi" w:hAnsiTheme="majorHAnsi" w:cstheme="majorHAnsi"/>
        </w:rPr>
        <w:t xml:space="preserve">” (estados). A nivel nacional y legislativo, el </w:t>
      </w:r>
      <w:proofErr w:type="spellStart"/>
      <w:r w:rsidRPr="00985B97">
        <w:rPr>
          <w:rFonts w:asciiTheme="majorHAnsi" w:hAnsiTheme="majorHAnsi" w:cstheme="majorHAnsi"/>
        </w:rPr>
        <w:t>Bundestag</w:t>
      </w:r>
      <w:proofErr w:type="spellEnd"/>
      <w:r w:rsidRPr="00985B97">
        <w:rPr>
          <w:rFonts w:asciiTheme="majorHAnsi" w:hAnsiTheme="majorHAnsi" w:cstheme="majorHAnsi"/>
        </w:rPr>
        <w:t xml:space="preserve"> (Parlamento federal) es el ente principal de creación de normas y los estados participan de dicho proceso normativo mediante la “</w:t>
      </w:r>
      <w:proofErr w:type="spellStart"/>
      <w:r w:rsidRPr="00985B97">
        <w:rPr>
          <w:rFonts w:asciiTheme="majorHAnsi" w:hAnsiTheme="majorHAnsi" w:cstheme="majorHAnsi"/>
        </w:rPr>
        <w:t>Bundesrat</w:t>
      </w:r>
      <w:proofErr w:type="spellEnd"/>
      <w:r w:rsidRPr="00985B97">
        <w:rPr>
          <w:rFonts w:asciiTheme="majorHAnsi" w:hAnsiTheme="majorHAnsi" w:cstheme="majorHAnsi"/>
        </w:rPr>
        <w:t>” (Consejo Federal de Alemania) (</w:t>
      </w:r>
      <w:proofErr w:type="spellStart"/>
      <w:r w:rsidRPr="00985B97">
        <w:rPr>
          <w:rFonts w:asciiTheme="majorHAnsi" w:hAnsiTheme="majorHAnsi" w:cstheme="majorHAnsi"/>
        </w:rPr>
        <w:t>Kemmerzell</w:t>
      </w:r>
      <w:proofErr w:type="spellEnd"/>
      <w:r w:rsidRPr="00985B97">
        <w:rPr>
          <w:rFonts w:asciiTheme="majorHAnsi" w:hAnsiTheme="majorHAnsi" w:cstheme="majorHAnsi"/>
        </w:rPr>
        <w:t xml:space="preserve">, 2022, p. 678). </w:t>
      </w:r>
    </w:p>
    <w:p w14:paraId="25258212" w14:textId="77777777" w:rsidR="00F37424" w:rsidRPr="00985B97" w:rsidRDefault="00F37424" w:rsidP="00985B97">
      <w:pPr>
        <w:jc w:val="both"/>
        <w:rPr>
          <w:rFonts w:asciiTheme="majorHAnsi" w:hAnsiTheme="majorHAnsi" w:cstheme="majorHAnsi"/>
        </w:rPr>
      </w:pPr>
      <w:r w:rsidRPr="00985B97">
        <w:rPr>
          <w:rFonts w:asciiTheme="majorHAnsi" w:hAnsiTheme="majorHAnsi" w:cstheme="majorHAnsi"/>
        </w:rPr>
        <w:t xml:space="preserve">A nivel ejecutivo el manejo del sector eléctrico ha estado bajo el control de la cartera del Ministerio de Economía y bajo el canciller Gerhard </w:t>
      </w:r>
      <w:proofErr w:type="spellStart"/>
      <w:r w:rsidRPr="00985B97">
        <w:rPr>
          <w:rFonts w:asciiTheme="majorHAnsi" w:hAnsiTheme="majorHAnsi" w:cstheme="majorHAnsi"/>
        </w:rPr>
        <w:t>Schröder</w:t>
      </w:r>
      <w:proofErr w:type="spellEnd"/>
      <w:r w:rsidRPr="00985B97">
        <w:rPr>
          <w:rFonts w:asciiTheme="majorHAnsi" w:hAnsiTheme="majorHAnsi" w:cstheme="majorHAnsi"/>
        </w:rPr>
        <w:t xml:space="preserve">. Entre 2005 – 2009 el gobierno de Angela Merkel mantiene la continuidad, pero el Ministerio de Economía y el Ministerio Federal de Medio Ambiente comienzan a trabajar de forma más integrada en programas de eficiencia y clima. En 2013 el Ministerio de Economía cambia a ser el Ministerio de Economía y Energía y actualmente es el Ministerio de Economía y Acción </w:t>
      </w:r>
      <w:r w:rsidRPr="00985B97">
        <w:rPr>
          <w:rFonts w:asciiTheme="majorHAnsi" w:hAnsiTheme="majorHAnsi" w:cstheme="majorHAnsi"/>
        </w:rPr>
        <w:lastRenderedPageBreak/>
        <w:t xml:space="preserve">Climática, lo cual muestra un interés en orientar al sector eléctrico y la economía a los cumplimientos de los objetivos climáticos. Además de ello, el Ministerio Federal de Medio Ambiente, el de Transporte e Infraestructura Digital y el </w:t>
      </w:r>
      <w:proofErr w:type="spellStart"/>
      <w:r w:rsidRPr="00985B97">
        <w:rPr>
          <w:rFonts w:asciiTheme="majorHAnsi" w:hAnsiTheme="majorHAnsi" w:cstheme="majorHAnsi"/>
          <w:i/>
          <w:iCs/>
        </w:rPr>
        <w:t>Klimakabinett</w:t>
      </w:r>
      <w:proofErr w:type="spellEnd"/>
      <w:r w:rsidRPr="00985B97">
        <w:rPr>
          <w:rFonts w:asciiTheme="majorHAnsi" w:hAnsiTheme="majorHAnsi" w:cstheme="majorHAnsi"/>
          <w:i/>
          <w:iCs/>
        </w:rPr>
        <w:t xml:space="preserve"> </w:t>
      </w:r>
      <w:r w:rsidRPr="00985B97">
        <w:rPr>
          <w:rFonts w:asciiTheme="majorHAnsi" w:hAnsiTheme="majorHAnsi" w:cstheme="majorHAnsi"/>
        </w:rPr>
        <w:t>(“Gabinete climático”, en el que participa Agricultura, Finanzas y una unidad de la cancillería alemana) completan el panorama ejecutivo (</w:t>
      </w:r>
      <w:proofErr w:type="spellStart"/>
      <w:r w:rsidRPr="00985B97">
        <w:rPr>
          <w:rFonts w:asciiTheme="majorHAnsi" w:hAnsiTheme="majorHAnsi" w:cstheme="majorHAnsi"/>
        </w:rPr>
        <w:t>Kemmerzell</w:t>
      </w:r>
      <w:proofErr w:type="spellEnd"/>
      <w:r w:rsidRPr="00985B97">
        <w:rPr>
          <w:rFonts w:asciiTheme="majorHAnsi" w:hAnsiTheme="majorHAnsi" w:cstheme="majorHAnsi"/>
        </w:rPr>
        <w:t>, 2022, pp.678-679).</w:t>
      </w:r>
    </w:p>
    <w:p w14:paraId="2AFBAA22" w14:textId="77777777" w:rsidR="00F37424" w:rsidRPr="00985B97" w:rsidRDefault="00F37424" w:rsidP="00985B97">
      <w:pPr>
        <w:jc w:val="both"/>
        <w:rPr>
          <w:rFonts w:asciiTheme="majorHAnsi" w:hAnsiTheme="majorHAnsi" w:cstheme="majorHAnsi"/>
        </w:rPr>
      </w:pPr>
      <w:r w:rsidRPr="00985B97">
        <w:rPr>
          <w:rFonts w:asciiTheme="majorHAnsi" w:hAnsiTheme="majorHAnsi" w:cstheme="majorHAnsi"/>
        </w:rPr>
        <w:t xml:space="preserve">El Ministerio Federal de Economía y Acción Climática se organiza alrededor de los </w:t>
      </w:r>
      <w:proofErr w:type="spellStart"/>
      <w:r w:rsidRPr="00985B97">
        <w:rPr>
          <w:rFonts w:asciiTheme="majorHAnsi" w:hAnsiTheme="majorHAnsi" w:cstheme="majorHAnsi"/>
        </w:rPr>
        <w:t>siguentes</w:t>
      </w:r>
      <w:proofErr w:type="spellEnd"/>
      <w:r w:rsidRPr="00985B97">
        <w:rPr>
          <w:rFonts w:asciiTheme="majorHAnsi" w:hAnsiTheme="majorHAnsi" w:cstheme="majorHAnsi"/>
        </w:rPr>
        <w:t xml:space="preserve"> departamentos (Ministerio Federal de Economía y Acción Climática, 2025): </w:t>
      </w:r>
    </w:p>
    <w:p w14:paraId="13BA99AB" w14:textId="77777777" w:rsidR="00F37424" w:rsidRPr="00985B97" w:rsidRDefault="00F37424" w:rsidP="00721806">
      <w:pPr>
        <w:pStyle w:val="Prrafodelista"/>
        <w:numPr>
          <w:ilvl w:val="0"/>
          <w:numId w:val="53"/>
        </w:numPr>
        <w:spacing w:after="160"/>
        <w:jc w:val="both"/>
        <w:rPr>
          <w:rFonts w:asciiTheme="majorHAnsi" w:hAnsiTheme="majorHAnsi" w:cstheme="majorHAnsi"/>
        </w:rPr>
      </w:pPr>
      <w:r w:rsidRPr="00985B97">
        <w:rPr>
          <w:rFonts w:asciiTheme="majorHAnsi" w:hAnsiTheme="majorHAnsi" w:cstheme="majorHAnsi"/>
        </w:rPr>
        <w:t>Administración Central – Z</w:t>
      </w:r>
    </w:p>
    <w:p w14:paraId="78A5FB40" w14:textId="77777777" w:rsidR="00F37424" w:rsidRPr="00985B97" w:rsidRDefault="00F37424" w:rsidP="00721806">
      <w:pPr>
        <w:pStyle w:val="Prrafodelista"/>
        <w:numPr>
          <w:ilvl w:val="0"/>
          <w:numId w:val="53"/>
        </w:numPr>
        <w:spacing w:after="160"/>
        <w:jc w:val="both"/>
        <w:rPr>
          <w:rFonts w:asciiTheme="majorHAnsi" w:hAnsiTheme="majorHAnsi" w:cstheme="majorHAnsi"/>
        </w:rPr>
      </w:pPr>
      <w:r w:rsidRPr="00985B97">
        <w:rPr>
          <w:rFonts w:asciiTheme="majorHAnsi" w:hAnsiTheme="majorHAnsi" w:cstheme="majorHAnsi"/>
        </w:rPr>
        <w:t>Política Europea – E</w:t>
      </w:r>
    </w:p>
    <w:p w14:paraId="12A4C70E" w14:textId="77777777" w:rsidR="00F37424" w:rsidRPr="00985B97" w:rsidRDefault="00F37424" w:rsidP="00721806">
      <w:pPr>
        <w:pStyle w:val="Prrafodelista"/>
        <w:numPr>
          <w:ilvl w:val="0"/>
          <w:numId w:val="53"/>
        </w:numPr>
        <w:spacing w:after="160"/>
        <w:jc w:val="both"/>
        <w:rPr>
          <w:rFonts w:asciiTheme="majorHAnsi" w:hAnsiTheme="majorHAnsi" w:cstheme="majorHAnsi"/>
        </w:rPr>
      </w:pPr>
      <w:r w:rsidRPr="00985B97">
        <w:rPr>
          <w:rFonts w:asciiTheme="majorHAnsi" w:hAnsiTheme="majorHAnsi" w:cstheme="majorHAnsi"/>
        </w:rPr>
        <w:t>Política Económica – I</w:t>
      </w:r>
    </w:p>
    <w:p w14:paraId="567520DA" w14:textId="77777777" w:rsidR="00F37424" w:rsidRPr="00985B97" w:rsidRDefault="00F37424" w:rsidP="00721806">
      <w:pPr>
        <w:pStyle w:val="Prrafodelista"/>
        <w:numPr>
          <w:ilvl w:val="0"/>
          <w:numId w:val="53"/>
        </w:numPr>
        <w:spacing w:after="160"/>
        <w:jc w:val="both"/>
        <w:rPr>
          <w:rFonts w:asciiTheme="majorHAnsi" w:hAnsiTheme="majorHAnsi" w:cstheme="majorHAnsi"/>
        </w:rPr>
      </w:pPr>
      <w:r w:rsidRPr="00985B97">
        <w:rPr>
          <w:rFonts w:asciiTheme="majorHAnsi" w:hAnsiTheme="majorHAnsi" w:cstheme="majorHAnsi"/>
        </w:rPr>
        <w:t>Estabilización Económica y Seguridad Energética – WE</w:t>
      </w:r>
    </w:p>
    <w:p w14:paraId="667A30F2" w14:textId="77777777" w:rsidR="00F37424" w:rsidRPr="00985B97" w:rsidRDefault="00F37424" w:rsidP="00721806">
      <w:pPr>
        <w:pStyle w:val="Prrafodelista"/>
        <w:numPr>
          <w:ilvl w:val="0"/>
          <w:numId w:val="53"/>
        </w:numPr>
        <w:spacing w:after="160"/>
        <w:jc w:val="both"/>
        <w:rPr>
          <w:rFonts w:asciiTheme="majorHAnsi" w:hAnsiTheme="majorHAnsi" w:cstheme="majorHAnsi"/>
        </w:rPr>
      </w:pPr>
      <w:r w:rsidRPr="00985B97">
        <w:rPr>
          <w:rFonts w:asciiTheme="majorHAnsi" w:hAnsiTheme="majorHAnsi" w:cstheme="majorHAnsi"/>
        </w:rPr>
        <w:t>Acción por el Clima – K</w:t>
      </w:r>
    </w:p>
    <w:p w14:paraId="78B4A760" w14:textId="77777777" w:rsidR="00F37424" w:rsidRPr="00985B97" w:rsidRDefault="00F37424" w:rsidP="00721806">
      <w:pPr>
        <w:pStyle w:val="Prrafodelista"/>
        <w:numPr>
          <w:ilvl w:val="0"/>
          <w:numId w:val="53"/>
        </w:numPr>
        <w:spacing w:after="160"/>
        <w:jc w:val="both"/>
        <w:rPr>
          <w:rFonts w:asciiTheme="majorHAnsi" w:hAnsiTheme="majorHAnsi" w:cstheme="majorHAnsi"/>
        </w:rPr>
      </w:pPr>
      <w:r w:rsidRPr="00985B97">
        <w:rPr>
          <w:rFonts w:asciiTheme="majorHAnsi" w:hAnsiTheme="majorHAnsi" w:cstheme="majorHAnsi"/>
        </w:rPr>
        <w:t>Política Energética: Calefacción y Eficiencia – II</w:t>
      </w:r>
    </w:p>
    <w:p w14:paraId="45860A8E" w14:textId="77777777" w:rsidR="00F37424" w:rsidRPr="00985B97" w:rsidRDefault="00F37424" w:rsidP="00721806">
      <w:pPr>
        <w:pStyle w:val="Prrafodelista"/>
        <w:numPr>
          <w:ilvl w:val="0"/>
          <w:numId w:val="53"/>
        </w:numPr>
        <w:spacing w:after="160"/>
        <w:jc w:val="both"/>
        <w:rPr>
          <w:rFonts w:asciiTheme="majorHAnsi" w:hAnsiTheme="majorHAnsi" w:cstheme="majorHAnsi"/>
        </w:rPr>
      </w:pPr>
      <w:r w:rsidRPr="00985B97">
        <w:rPr>
          <w:rFonts w:asciiTheme="majorHAnsi" w:hAnsiTheme="majorHAnsi" w:cstheme="majorHAnsi"/>
        </w:rPr>
        <w:t>Política Energética: Electricidad y Red – III</w:t>
      </w:r>
    </w:p>
    <w:p w14:paraId="424FCD04" w14:textId="77777777" w:rsidR="00F37424" w:rsidRPr="00985B97" w:rsidRDefault="00F37424" w:rsidP="00721806">
      <w:pPr>
        <w:pStyle w:val="Prrafodelista"/>
        <w:numPr>
          <w:ilvl w:val="0"/>
          <w:numId w:val="53"/>
        </w:numPr>
        <w:spacing w:after="160"/>
        <w:jc w:val="both"/>
        <w:rPr>
          <w:rFonts w:asciiTheme="majorHAnsi" w:hAnsiTheme="majorHAnsi" w:cstheme="majorHAnsi"/>
        </w:rPr>
      </w:pPr>
      <w:r w:rsidRPr="00985B97">
        <w:rPr>
          <w:rFonts w:asciiTheme="majorHAnsi" w:hAnsiTheme="majorHAnsi" w:cstheme="majorHAnsi"/>
        </w:rPr>
        <w:t>Política Industrial – IV</w:t>
      </w:r>
    </w:p>
    <w:p w14:paraId="0A78EDB8" w14:textId="77777777" w:rsidR="00F37424" w:rsidRPr="00985B97" w:rsidRDefault="00F37424" w:rsidP="00721806">
      <w:pPr>
        <w:pStyle w:val="Prrafodelista"/>
        <w:numPr>
          <w:ilvl w:val="0"/>
          <w:numId w:val="53"/>
        </w:numPr>
        <w:spacing w:after="160"/>
        <w:jc w:val="both"/>
        <w:rPr>
          <w:rFonts w:asciiTheme="majorHAnsi" w:hAnsiTheme="majorHAnsi" w:cstheme="majorHAnsi"/>
        </w:rPr>
      </w:pPr>
      <w:r w:rsidRPr="00985B97">
        <w:rPr>
          <w:rFonts w:asciiTheme="majorHAnsi" w:hAnsiTheme="majorHAnsi" w:cstheme="majorHAnsi"/>
        </w:rPr>
        <w:t>Política Económica Exterior – V</w:t>
      </w:r>
    </w:p>
    <w:p w14:paraId="5C446876" w14:textId="77777777" w:rsidR="00F37424" w:rsidRPr="00985B97" w:rsidRDefault="00F37424" w:rsidP="00721806">
      <w:pPr>
        <w:pStyle w:val="Prrafodelista"/>
        <w:numPr>
          <w:ilvl w:val="0"/>
          <w:numId w:val="53"/>
        </w:numPr>
        <w:spacing w:after="160"/>
        <w:jc w:val="both"/>
        <w:rPr>
          <w:rFonts w:asciiTheme="majorHAnsi" w:hAnsiTheme="majorHAnsi" w:cstheme="majorHAnsi"/>
        </w:rPr>
      </w:pPr>
      <w:r w:rsidRPr="00985B97">
        <w:rPr>
          <w:rFonts w:asciiTheme="majorHAnsi" w:hAnsiTheme="majorHAnsi" w:cstheme="majorHAnsi"/>
        </w:rPr>
        <w:t>Política Digital e Innovación – VI</w:t>
      </w:r>
    </w:p>
    <w:p w14:paraId="47684EAF" w14:textId="77777777" w:rsidR="00F37424" w:rsidRPr="00985B97" w:rsidRDefault="00F37424" w:rsidP="00721806">
      <w:pPr>
        <w:pStyle w:val="Prrafodelista"/>
        <w:numPr>
          <w:ilvl w:val="0"/>
          <w:numId w:val="53"/>
        </w:numPr>
        <w:spacing w:after="160"/>
        <w:jc w:val="both"/>
        <w:rPr>
          <w:rFonts w:asciiTheme="majorHAnsi" w:hAnsiTheme="majorHAnsi" w:cstheme="majorHAnsi"/>
        </w:rPr>
      </w:pPr>
      <w:r w:rsidRPr="00985B97">
        <w:rPr>
          <w:rFonts w:asciiTheme="majorHAnsi" w:hAnsiTheme="majorHAnsi" w:cstheme="majorHAnsi"/>
        </w:rPr>
        <w:t>Política para las PYME – VII</w:t>
      </w:r>
    </w:p>
    <w:p w14:paraId="079F64EC" w14:textId="77777777" w:rsidR="00F37424" w:rsidRPr="00985B97" w:rsidRDefault="00F37424" w:rsidP="00985B97">
      <w:pPr>
        <w:jc w:val="both"/>
        <w:rPr>
          <w:rFonts w:asciiTheme="majorHAnsi" w:hAnsiTheme="majorHAnsi" w:cstheme="majorHAnsi"/>
        </w:rPr>
      </w:pPr>
      <w:r w:rsidRPr="00985B97">
        <w:rPr>
          <w:rFonts w:asciiTheme="majorHAnsi" w:hAnsiTheme="majorHAnsi" w:cstheme="majorHAnsi"/>
        </w:rPr>
        <w:t>Además de lo anterior, hay una serie de agencias y autoridades alrededor del sector que son claves para entender dimensiones más técnicas de la gobernanza energética alemana. Podemos destacar la Agencia Federal de Redes, que tiene por función el despliegue de proyectos energéticos y la supervisión de mercados de energía y gas; la Oficina Nacional Federal de Cartel (</w:t>
      </w:r>
      <w:proofErr w:type="spellStart"/>
      <w:r w:rsidRPr="00985B97">
        <w:rPr>
          <w:rFonts w:asciiTheme="majorHAnsi" w:hAnsiTheme="majorHAnsi" w:cstheme="majorHAnsi"/>
        </w:rPr>
        <w:t>Bundeskartellamt</w:t>
      </w:r>
      <w:proofErr w:type="spellEnd"/>
      <w:r w:rsidRPr="00985B97">
        <w:rPr>
          <w:rFonts w:asciiTheme="majorHAnsi" w:hAnsiTheme="majorHAnsi" w:cstheme="majorHAnsi"/>
        </w:rPr>
        <w:t xml:space="preserve">), la Comisión de Monopolios, las autoridades de competición de cada </w:t>
      </w:r>
      <w:proofErr w:type="spellStart"/>
      <w:r w:rsidRPr="00985B97">
        <w:rPr>
          <w:rFonts w:asciiTheme="majorHAnsi" w:hAnsiTheme="majorHAnsi" w:cstheme="majorHAnsi"/>
          <w:i/>
          <w:iCs/>
        </w:rPr>
        <w:t>Länder</w:t>
      </w:r>
      <w:proofErr w:type="spellEnd"/>
      <w:r w:rsidRPr="00985B97">
        <w:rPr>
          <w:rFonts w:asciiTheme="majorHAnsi" w:hAnsiTheme="majorHAnsi" w:cstheme="majorHAnsi"/>
        </w:rPr>
        <w:t>, la Autoridad Alemana de Comercio de Emisiones, la Agencia de Energía Alemana y la Organización Nacional de Hidrógeno y de Células de Combustible, además de diversos consejos de expertos (</w:t>
      </w:r>
      <w:proofErr w:type="spellStart"/>
      <w:r w:rsidRPr="00985B97">
        <w:rPr>
          <w:rFonts w:asciiTheme="majorHAnsi" w:hAnsiTheme="majorHAnsi" w:cstheme="majorHAnsi"/>
        </w:rPr>
        <w:t>Kemmerzell</w:t>
      </w:r>
      <w:proofErr w:type="spellEnd"/>
      <w:r w:rsidRPr="00985B97">
        <w:rPr>
          <w:rFonts w:asciiTheme="majorHAnsi" w:hAnsiTheme="majorHAnsi" w:cstheme="majorHAnsi"/>
        </w:rPr>
        <w:t xml:space="preserve">, 2022, p.679). </w:t>
      </w:r>
    </w:p>
    <w:p w14:paraId="08EF60F1" w14:textId="77777777" w:rsidR="00F37424" w:rsidRPr="00985B97" w:rsidRDefault="00F37424" w:rsidP="00985B97">
      <w:pPr>
        <w:jc w:val="both"/>
        <w:rPr>
          <w:rFonts w:asciiTheme="majorHAnsi" w:hAnsiTheme="majorHAnsi" w:cstheme="majorHAnsi"/>
        </w:rPr>
      </w:pPr>
      <w:r w:rsidRPr="00985B97">
        <w:rPr>
          <w:rFonts w:asciiTheme="majorHAnsi" w:hAnsiTheme="majorHAnsi" w:cstheme="majorHAnsi"/>
        </w:rPr>
        <w:t xml:space="preserve">Sin embargo, es importante entender que el régimen político alemán es altamente descentralizado y federalizado, con lo que hay una alta autonomía local en la implementación de las políticas y las disputas alrededor del control concreto de la Transición Energética Alemana depende de un conjunto de actores </w:t>
      </w:r>
      <w:r w:rsidRPr="00985B97">
        <w:rPr>
          <w:rFonts w:asciiTheme="majorHAnsi" w:hAnsiTheme="majorHAnsi" w:cstheme="majorHAnsi"/>
        </w:rPr>
        <w:lastRenderedPageBreak/>
        <w:t xml:space="preserve">más allá del sector ministerial, que involucran movimientos sociales, actores políticos, actores privados y autoridades locales (Moss, Becker y </w:t>
      </w:r>
      <w:proofErr w:type="spellStart"/>
      <w:r w:rsidRPr="00985B97">
        <w:rPr>
          <w:rFonts w:asciiTheme="majorHAnsi" w:hAnsiTheme="majorHAnsi" w:cstheme="majorHAnsi"/>
        </w:rPr>
        <w:t>Naumann</w:t>
      </w:r>
      <w:proofErr w:type="spellEnd"/>
      <w:r w:rsidRPr="00985B97">
        <w:rPr>
          <w:rFonts w:asciiTheme="majorHAnsi" w:hAnsiTheme="majorHAnsi" w:cstheme="majorHAnsi"/>
        </w:rPr>
        <w:t>, 2014). En ese sentido, es importante entender que como señalamos anteriormente, los estados legislan sobre la transición vía la “</w:t>
      </w:r>
      <w:proofErr w:type="spellStart"/>
      <w:r w:rsidRPr="00985B97">
        <w:rPr>
          <w:rFonts w:asciiTheme="majorHAnsi" w:hAnsiTheme="majorHAnsi" w:cstheme="majorHAnsi"/>
        </w:rPr>
        <w:t>Bundesrat</w:t>
      </w:r>
      <w:proofErr w:type="spellEnd"/>
      <w:r w:rsidRPr="00985B97">
        <w:rPr>
          <w:rFonts w:asciiTheme="majorHAnsi" w:hAnsiTheme="majorHAnsi" w:cstheme="majorHAnsi"/>
        </w:rPr>
        <w:t>”, y además las municipalidades también son claves en la transición en materia de eficiencia, movilidad, transporte público y redes de distribución, en coordinación con autoridades federales (</w:t>
      </w:r>
      <w:proofErr w:type="spellStart"/>
      <w:r w:rsidRPr="00985B97">
        <w:rPr>
          <w:rFonts w:asciiTheme="majorHAnsi" w:hAnsiTheme="majorHAnsi" w:cstheme="majorHAnsi"/>
        </w:rPr>
        <w:t>Kemmerzell</w:t>
      </w:r>
      <w:proofErr w:type="spellEnd"/>
      <w:r w:rsidRPr="00985B97">
        <w:rPr>
          <w:rFonts w:asciiTheme="majorHAnsi" w:hAnsiTheme="majorHAnsi" w:cstheme="majorHAnsi"/>
        </w:rPr>
        <w:t xml:space="preserve">, 2022, p.696). Además, existen los Consejos de Cooperación (Bund-Lander </w:t>
      </w:r>
      <w:proofErr w:type="spellStart"/>
      <w:r w:rsidRPr="00985B97">
        <w:rPr>
          <w:rFonts w:asciiTheme="majorHAnsi" w:hAnsiTheme="majorHAnsi" w:cstheme="majorHAnsi"/>
        </w:rPr>
        <w:t>Kooperationsausschuss</w:t>
      </w:r>
      <w:proofErr w:type="spellEnd"/>
      <w:r w:rsidRPr="00985B97">
        <w:rPr>
          <w:rFonts w:asciiTheme="majorHAnsi" w:hAnsiTheme="majorHAnsi" w:cstheme="majorHAnsi"/>
        </w:rPr>
        <w:t>) que permiten una coordinación región-nación sobre el uso del suelo y la expansión de energía eólica (</w:t>
      </w:r>
      <w:proofErr w:type="spellStart"/>
      <w:r w:rsidRPr="00985B97">
        <w:rPr>
          <w:rFonts w:asciiTheme="majorHAnsi" w:hAnsiTheme="majorHAnsi" w:cstheme="majorHAnsi"/>
        </w:rPr>
        <w:t>Kemmerzell</w:t>
      </w:r>
      <w:proofErr w:type="spellEnd"/>
      <w:r w:rsidRPr="00985B97">
        <w:rPr>
          <w:rFonts w:asciiTheme="majorHAnsi" w:hAnsiTheme="majorHAnsi" w:cstheme="majorHAnsi"/>
        </w:rPr>
        <w:t>, 2022).</w:t>
      </w:r>
    </w:p>
    <w:p w14:paraId="6266C1A9" w14:textId="77777777" w:rsidR="00F37424" w:rsidRPr="00985B97" w:rsidRDefault="00F37424" w:rsidP="00985B97">
      <w:pPr>
        <w:jc w:val="both"/>
        <w:rPr>
          <w:rFonts w:asciiTheme="majorHAnsi" w:hAnsiTheme="majorHAnsi" w:cstheme="majorHAnsi"/>
        </w:rPr>
      </w:pPr>
      <w:r w:rsidRPr="00985B97">
        <w:rPr>
          <w:rFonts w:asciiTheme="majorHAnsi" w:hAnsiTheme="majorHAnsi" w:cstheme="majorHAnsi"/>
        </w:rPr>
        <w:t>Aunado a lo anterior, Alemania cuenta con un equivalente a una “hoja de ruta” de transición energética en una serie de documentos de carácter estratégico. Entre ellos destacan el “</w:t>
      </w:r>
      <w:proofErr w:type="spellStart"/>
      <w:r w:rsidRPr="00985B97">
        <w:rPr>
          <w:rFonts w:asciiTheme="majorHAnsi" w:hAnsiTheme="majorHAnsi" w:cstheme="majorHAnsi"/>
        </w:rPr>
        <w:t>Energiekonzept</w:t>
      </w:r>
      <w:proofErr w:type="spellEnd"/>
      <w:r w:rsidRPr="00985B97">
        <w:rPr>
          <w:rFonts w:asciiTheme="majorHAnsi" w:hAnsiTheme="majorHAnsi" w:cstheme="majorHAnsi"/>
        </w:rPr>
        <w:t>” de 2010, que establece metas de reducción de gases de efecto invernadero a 2050 y que da cuenta de una ruta de hitos energéticos, y el Plan de Acción Climática de 2016 que introduce metas e hitos sectoriales detallados a 2030. Estos son los dos principales. También, está la Ley de Cambio Climático (2019), la Estrategia Nacional de Hidrógeno y la Estrategia Nacional de Eficiencia Energética (</w:t>
      </w:r>
      <w:proofErr w:type="spellStart"/>
      <w:r w:rsidRPr="00985B97">
        <w:rPr>
          <w:rFonts w:asciiTheme="majorHAnsi" w:hAnsiTheme="majorHAnsi" w:cstheme="majorHAnsi"/>
        </w:rPr>
        <w:t>Kemmerzell</w:t>
      </w:r>
      <w:proofErr w:type="spellEnd"/>
      <w:r w:rsidRPr="00985B97">
        <w:rPr>
          <w:rFonts w:asciiTheme="majorHAnsi" w:hAnsiTheme="majorHAnsi" w:cstheme="majorHAnsi"/>
        </w:rPr>
        <w:t xml:space="preserve">, 2022).  </w:t>
      </w:r>
    </w:p>
    <w:p w14:paraId="1B204E82" w14:textId="77777777" w:rsidR="00F37424" w:rsidRPr="00985B97" w:rsidRDefault="00F37424" w:rsidP="00985B97">
      <w:pPr>
        <w:pStyle w:val="Ttulo3"/>
        <w:rPr>
          <w:rFonts w:asciiTheme="majorHAnsi" w:hAnsiTheme="majorHAnsi" w:cstheme="majorHAnsi"/>
          <w:sz w:val="22"/>
          <w:szCs w:val="22"/>
        </w:rPr>
      </w:pPr>
      <w:bookmarkStart w:id="110" w:name="_Toc235107984"/>
      <w:r w:rsidRPr="00985B97">
        <w:rPr>
          <w:rFonts w:asciiTheme="majorHAnsi" w:hAnsiTheme="majorHAnsi" w:cstheme="majorHAnsi"/>
          <w:sz w:val="22"/>
          <w:szCs w:val="22"/>
        </w:rPr>
        <w:t>Uruguay</w:t>
      </w:r>
      <w:bookmarkEnd w:id="110"/>
    </w:p>
    <w:p w14:paraId="41708A19" w14:textId="77777777" w:rsidR="00F37424" w:rsidRPr="00985B97" w:rsidRDefault="00F37424" w:rsidP="00985B97">
      <w:pPr>
        <w:jc w:val="both"/>
        <w:rPr>
          <w:rFonts w:asciiTheme="majorHAnsi" w:hAnsiTheme="majorHAnsi" w:cstheme="majorHAnsi"/>
        </w:rPr>
      </w:pPr>
      <w:r w:rsidRPr="00985B97">
        <w:rPr>
          <w:rFonts w:asciiTheme="majorHAnsi" w:hAnsiTheme="majorHAnsi" w:cstheme="majorHAnsi"/>
        </w:rPr>
        <w:t>La transición energética en Uruguay suele presentarse como uno de los casos más exitosos de América Latina, sobre todo por la velocidad con la que transformó su matriz eléctrica en apenas una década. A comienzos de los años 2000, el país dependía de una matriz hidrotérmica, teniendo para ese año un 73% de su capacidad instalada para generación eléctrica a partir de fuentes hídricas, un 26,07% de energía fósil (</w:t>
      </w:r>
      <w:proofErr w:type="spellStart"/>
      <w:r w:rsidRPr="00985B97">
        <w:rPr>
          <w:rFonts w:asciiTheme="majorHAnsi" w:hAnsiTheme="majorHAnsi" w:cstheme="majorHAnsi"/>
        </w:rPr>
        <w:t>Ember</w:t>
      </w:r>
      <w:proofErr w:type="spellEnd"/>
      <w:r w:rsidRPr="00985B97">
        <w:rPr>
          <w:rFonts w:asciiTheme="majorHAnsi" w:hAnsiTheme="majorHAnsi" w:cstheme="majorHAnsi"/>
        </w:rPr>
        <w:t xml:space="preserve"> Energy, 2026). Esto exponía al país a variabilidades climáticas y a la importación de combustibles. A partir de una estrategia estatal de largo plazo, Uruguay impulsó fuertes inversiones en energía eólica, biomasa y solar, combinadas con la modernización de la red eléctrica y mecanismos de participación privada. El resultado es que hoy el sistema eléctrico uruguayo tiene un 99% de generación renovable y redujo a la mitad sus costos de generación (Fundación IVY y POLEN TJ, 2025, p. 10).</w:t>
      </w:r>
    </w:p>
    <w:p w14:paraId="156EB5C1" w14:textId="77777777" w:rsidR="00F37424" w:rsidRPr="00985B97" w:rsidRDefault="00F37424" w:rsidP="00985B97">
      <w:pPr>
        <w:jc w:val="both"/>
        <w:rPr>
          <w:rFonts w:asciiTheme="majorHAnsi" w:hAnsiTheme="majorHAnsi" w:cstheme="majorHAnsi"/>
        </w:rPr>
      </w:pPr>
      <w:r w:rsidRPr="00985B97">
        <w:rPr>
          <w:rFonts w:asciiTheme="majorHAnsi" w:hAnsiTheme="majorHAnsi" w:cstheme="majorHAnsi"/>
        </w:rPr>
        <w:t>En lo tocante a la arquitectura institucional, es una transición orientada principalmente desde el Estado, en el cual se operó un diálogo político, económico y con sindicatos para poder construir la transición de forma rápida y eficiente. El Estado ha manejado el tema del sector energético desde la cartera de industria y adquirió su actual nombre en 1974 (Ministerio de Industria, Energía y Minería de Uruguay, s.f.).</w:t>
      </w:r>
    </w:p>
    <w:p w14:paraId="533F6A54" w14:textId="77777777" w:rsidR="00F37424" w:rsidRPr="00985B97" w:rsidRDefault="00F37424" w:rsidP="00985B97">
      <w:pPr>
        <w:jc w:val="both"/>
        <w:rPr>
          <w:rFonts w:asciiTheme="majorHAnsi" w:hAnsiTheme="majorHAnsi" w:cstheme="majorHAnsi"/>
        </w:rPr>
      </w:pPr>
      <w:r w:rsidRPr="00985B97">
        <w:rPr>
          <w:rFonts w:asciiTheme="majorHAnsi" w:hAnsiTheme="majorHAnsi" w:cstheme="majorHAnsi"/>
        </w:rPr>
        <w:lastRenderedPageBreak/>
        <w:t xml:space="preserve">En el Ministerio de Industria, Energía y Minería de Uruguay, el sector eléctrico está presente dentro de la Dirección Nacional de Energía. Esta dirección está compuesta de las siguientes áreas (Ministerio de Industria, Energía y Minería de Uruguay, </w:t>
      </w:r>
      <w:proofErr w:type="spellStart"/>
      <w:r w:rsidRPr="00985B97">
        <w:rPr>
          <w:rFonts w:asciiTheme="majorHAnsi" w:hAnsiTheme="majorHAnsi" w:cstheme="majorHAnsi"/>
        </w:rPr>
        <w:t>s.f.b</w:t>
      </w:r>
      <w:proofErr w:type="spellEnd"/>
      <w:r w:rsidRPr="00985B97">
        <w:rPr>
          <w:rFonts w:asciiTheme="majorHAnsi" w:hAnsiTheme="majorHAnsi" w:cstheme="majorHAnsi"/>
        </w:rPr>
        <w:t>):</w:t>
      </w:r>
    </w:p>
    <w:p w14:paraId="42DF01B7" w14:textId="77777777" w:rsidR="00F37424" w:rsidRPr="00985B97" w:rsidRDefault="00F37424" w:rsidP="00721806">
      <w:pPr>
        <w:pStyle w:val="Prrafodelista"/>
        <w:numPr>
          <w:ilvl w:val="0"/>
          <w:numId w:val="52"/>
        </w:numPr>
        <w:spacing w:after="0"/>
        <w:jc w:val="both"/>
        <w:rPr>
          <w:rFonts w:asciiTheme="majorHAnsi" w:hAnsiTheme="majorHAnsi" w:cstheme="majorHAnsi"/>
        </w:rPr>
      </w:pPr>
      <w:r w:rsidRPr="00985B97">
        <w:rPr>
          <w:rFonts w:asciiTheme="majorHAnsi" w:hAnsiTheme="majorHAnsi" w:cstheme="majorHAnsi"/>
        </w:rPr>
        <w:t>Gabinete de Dirección</w:t>
      </w:r>
    </w:p>
    <w:p w14:paraId="0051A439" w14:textId="77777777" w:rsidR="00F37424" w:rsidRPr="00985B97" w:rsidRDefault="00F37424" w:rsidP="00721806">
      <w:pPr>
        <w:pStyle w:val="Prrafodelista"/>
        <w:numPr>
          <w:ilvl w:val="0"/>
          <w:numId w:val="52"/>
        </w:numPr>
        <w:spacing w:after="0"/>
        <w:jc w:val="both"/>
        <w:rPr>
          <w:rFonts w:asciiTheme="majorHAnsi" w:hAnsiTheme="majorHAnsi" w:cstheme="majorHAnsi"/>
        </w:rPr>
      </w:pPr>
      <w:r w:rsidRPr="00985B97">
        <w:rPr>
          <w:rFonts w:asciiTheme="majorHAnsi" w:hAnsiTheme="majorHAnsi" w:cstheme="majorHAnsi"/>
        </w:rPr>
        <w:t>Asesoría Técnica</w:t>
      </w:r>
    </w:p>
    <w:p w14:paraId="5715D0E8" w14:textId="77777777" w:rsidR="00F37424" w:rsidRPr="00985B97" w:rsidRDefault="00F37424" w:rsidP="00721806">
      <w:pPr>
        <w:pStyle w:val="Prrafodelista"/>
        <w:numPr>
          <w:ilvl w:val="0"/>
          <w:numId w:val="52"/>
        </w:numPr>
        <w:spacing w:after="0"/>
        <w:jc w:val="both"/>
        <w:rPr>
          <w:rFonts w:asciiTheme="majorHAnsi" w:hAnsiTheme="majorHAnsi" w:cstheme="majorHAnsi"/>
        </w:rPr>
      </w:pPr>
      <w:r w:rsidRPr="00985B97">
        <w:rPr>
          <w:rFonts w:asciiTheme="majorHAnsi" w:hAnsiTheme="majorHAnsi" w:cstheme="majorHAnsi"/>
        </w:rPr>
        <w:t>Área de Demanda, Acceso y Eficiencia Energética</w:t>
      </w:r>
    </w:p>
    <w:p w14:paraId="7AFC48F1" w14:textId="77777777" w:rsidR="00F37424" w:rsidRPr="00985B97" w:rsidRDefault="00F37424" w:rsidP="00721806">
      <w:pPr>
        <w:pStyle w:val="Prrafodelista"/>
        <w:numPr>
          <w:ilvl w:val="0"/>
          <w:numId w:val="52"/>
        </w:numPr>
        <w:spacing w:after="0"/>
        <w:jc w:val="both"/>
        <w:rPr>
          <w:rFonts w:asciiTheme="majorHAnsi" w:hAnsiTheme="majorHAnsi" w:cstheme="majorHAnsi"/>
        </w:rPr>
      </w:pPr>
      <w:r w:rsidRPr="00985B97">
        <w:rPr>
          <w:rFonts w:asciiTheme="majorHAnsi" w:hAnsiTheme="majorHAnsi" w:cstheme="majorHAnsi"/>
        </w:rPr>
        <w:t>Área de Energía Eléctrica.</w:t>
      </w:r>
    </w:p>
    <w:p w14:paraId="3B874D06" w14:textId="77777777" w:rsidR="00F37424" w:rsidRPr="00985B97" w:rsidRDefault="00F37424" w:rsidP="00721806">
      <w:pPr>
        <w:pStyle w:val="Prrafodelista"/>
        <w:numPr>
          <w:ilvl w:val="0"/>
          <w:numId w:val="52"/>
        </w:numPr>
        <w:spacing w:after="0"/>
        <w:jc w:val="both"/>
        <w:rPr>
          <w:rFonts w:asciiTheme="majorHAnsi" w:hAnsiTheme="majorHAnsi" w:cstheme="majorHAnsi"/>
        </w:rPr>
      </w:pPr>
      <w:r w:rsidRPr="00985B97">
        <w:rPr>
          <w:rFonts w:asciiTheme="majorHAnsi" w:hAnsiTheme="majorHAnsi" w:cstheme="majorHAnsi"/>
        </w:rPr>
        <w:t>Área de Energías Renovables.</w:t>
      </w:r>
    </w:p>
    <w:p w14:paraId="50A2A23D" w14:textId="77777777" w:rsidR="00F37424" w:rsidRPr="00985B97" w:rsidRDefault="00F37424" w:rsidP="00721806">
      <w:pPr>
        <w:pStyle w:val="Prrafodelista"/>
        <w:numPr>
          <w:ilvl w:val="0"/>
          <w:numId w:val="52"/>
        </w:numPr>
        <w:spacing w:after="0"/>
        <w:jc w:val="both"/>
        <w:rPr>
          <w:rFonts w:asciiTheme="majorHAnsi" w:hAnsiTheme="majorHAnsi" w:cstheme="majorHAnsi"/>
        </w:rPr>
      </w:pPr>
      <w:r w:rsidRPr="00985B97">
        <w:rPr>
          <w:rFonts w:asciiTheme="majorHAnsi" w:hAnsiTheme="majorHAnsi" w:cstheme="majorHAnsi"/>
        </w:rPr>
        <w:t>Área de Hidrocarburos.</w:t>
      </w:r>
    </w:p>
    <w:p w14:paraId="0A36EDCF" w14:textId="77777777" w:rsidR="00F37424" w:rsidRPr="00985B97" w:rsidRDefault="00F37424" w:rsidP="00721806">
      <w:pPr>
        <w:pStyle w:val="Prrafodelista"/>
        <w:numPr>
          <w:ilvl w:val="0"/>
          <w:numId w:val="52"/>
        </w:numPr>
        <w:spacing w:after="0"/>
        <w:jc w:val="both"/>
        <w:rPr>
          <w:rFonts w:asciiTheme="majorHAnsi" w:hAnsiTheme="majorHAnsi" w:cstheme="majorHAnsi"/>
        </w:rPr>
      </w:pPr>
      <w:r w:rsidRPr="00985B97">
        <w:rPr>
          <w:rFonts w:asciiTheme="majorHAnsi" w:hAnsiTheme="majorHAnsi" w:cstheme="majorHAnsi"/>
        </w:rPr>
        <w:t>Área de Planificación, Estadística y Balance.</w:t>
      </w:r>
    </w:p>
    <w:p w14:paraId="784DC409" w14:textId="77777777" w:rsidR="00F37424" w:rsidRPr="00985B97" w:rsidRDefault="00F37424" w:rsidP="00721806">
      <w:pPr>
        <w:pStyle w:val="Prrafodelista"/>
        <w:numPr>
          <w:ilvl w:val="0"/>
          <w:numId w:val="52"/>
        </w:numPr>
        <w:spacing w:after="0"/>
        <w:jc w:val="both"/>
        <w:rPr>
          <w:rFonts w:asciiTheme="majorHAnsi" w:hAnsiTheme="majorHAnsi" w:cstheme="majorHAnsi"/>
        </w:rPr>
      </w:pPr>
      <w:r w:rsidRPr="00985B97">
        <w:rPr>
          <w:rFonts w:asciiTheme="majorHAnsi" w:hAnsiTheme="majorHAnsi" w:cstheme="majorHAnsi"/>
        </w:rPr>
        <w:t>Departamento de Administración y Gestión</w:t>
      </w:r>
    </w:p>
    <w:p w14:paraId="5A66830E" w14:textId="77777777" w:rsidR="00F37424" w:rsidRPr="00985B97" w:rsidRDefault="00F37424" w:rsidP="00985B97">
      <w:pPr>
        <w:pStyle w:val="Prrafodelista"/>
        <w:spacing w:after="0"/>
        <w:jc w:val="both"/>
        <w:rPr>
          <w:rFonts w:asciiTheme="majorHAnsi" w:hAnsiTheme="majorHAnsi" w:cstheme="majorHAnsi"/>
        </w:rPr>
      </w:pPr>
    </w:p>
    <w:p w14:paraId="29BE9E9B" w14:textId="77777777" w:rsidR="00F37424" w:rsidRPr="00985B97" w:rsidRDefault="00F37424" w:rsidP="00985B97">
      <w:pPr>
        <w:jc w:val="both"/>
        <w:rPr>
          <w:rFonts w:asciiTheme="majorHAnsi" w:hAnsiTheme="majorHAnsi" w:cstheme="majorHAnsi"/>
        </w:rPr>
      </w:pPr>
      <w:r w:rsidRPr="00985B97">
        <w:rPr>
          <w:rFonts w:asciiTheme="majorHAnsi" w:hAnsiTheme="majorHAnsi" w:cstheme="majorHAnsi"/>
        </w:rPr>
        <w:t xml:space="preserve">Asimismo, se destaca el papel de la Administración Nacional de Usinas y Transmisiones Eléctricas (UTE). Esta es una empresa de carácter estatal fundada en 1912 que funciona de forma monopólica para abastecer las necesidades eléctricas del país (Bertino, 2013). Esto implica que es importante analizar el papel de la empresa para lograr la transición energética, en tanto el papel del Estado como agente organizador del sector eléctrico es mucho más preponderante que en Alemania o en Colombia, donde hay mercados de competencia de energía eléctrica. </w:t>
      </w:r>
    </w:p>
    <w:p w14:paraId="10D77714" w14:textId="77777777" w:rsidR="00993DFA" w:rsidRPr="00985B97" w:rsidRDefault="00993DFA" w:rsidP="00A86834">
      <w:pPr>
        <w:pStyle w:val="Ttulo1"/>
      </w:pPr>
      <w:bookmarkStart w:id="111" w:name="_Toc235107985"/>
      <w:r w:rsidRPr="00985B97">
        <w:t>Capítulo 2</w:t>
      </w:r>
      <w:bookmarkEnd w:id="111"/>
    </w:p>
    <w:p w14:paraId="34FFFAC8" w14:textId="77777777" w:rsidR="00993DFA" w:rsidRPr="00985B97" w:rsidRDefault="00993DFA" w:rsidP="00985B97">
      <w:pPr>
        <w:jc w:val="both"/>
        <w:rPr>
          <w:rFonts w:asciiTheme="majorHAnsi" w:hAnsiTheme="majorHAnsi" w:cstheme="majorHAnsi"/>
          <w:lang w:val="es-ES"/>
        </w:rPr>
      </w:pPr>
      <w:r w:rsidRPr="00985B97">
        <w:rPr>
          <w:rFonts w:asciiTheme="majorHAnsi" w:hAnsiTheme="majorHAnsi" w:cstheme="majorHAnsi"/>
        </w:rPr>
        <w:t>La pregunta que guiará este capítulo es: ¿Qué imaginarios, percepciones, propuestas de políticas, prácticas, barreras y prioridades están presentes en actores de interés del subsector de energía eléctrica? Para ello, se realizará se hará un trabajo dialógico, el cual tiene como fin conocer la perspectiva de los actores principales sobre el problema de investigación para explorar imaginarios sobre la transición energética, percepciones sobre la institucionalidad, requerimientos normativos para la TEJ y la implicación de la TEJ en temas étnicos y de género, y se desarrollarán hacia ocho (8) organizaciones del subsector de energía.</w:t>
      </w:r>
    </w:p>
    <w:p w14:paraId="5B448D31" w14:textId="77777777" w:rsidR="00993DFA" w:rsidRPr="00985B97" w:rsidRDefault="00993DFA" w:rsidP="00A86834">
      <w:pPr>
        <w:pStyle w:val="Ttulo1"/>
      </w:pPr>
      <w:bookmarkStart w:id="112" w:name="_Toc235107986"/>
      <w:r w:rsidRPr="00985B97">
        <w:lastRenderedPageBreak/>
        <w:t>Capítulo 3</w:t>
      </w:r>
      <w:bookmarkEnd w:id="112"/>
    </w:p>
    <w:p w14:paraId="6FE97607"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 xml:space="preserve">La pregunta que guiará este capítulo es: ¿Qué estrategias institucionales puede impulsar el Ministerio para mejorar su relación con la ciudadanía y garantizar la implementación de una Transición Energética Justa en el subsector eléctrico? Para ello, se </w:t>
      </w:r>
      <w:r w:rsidRPr="00985B97">
        <w:rPr>
          <w:rFonts w:asciiTheme="majorHAnsi" w:hAnsiTheme="majorHAnsi" w:cstheme="majorHAnsi"/>
          <w:lang w:val="es-ES"/>
        </w:rPr>
        <w:t>hará un análisis de los datos recabados y la construcción de la propuesta de estrategias de política pública orientadas al fortalecimiento institucional y de relación entre Estado-Ciudadanía de la siguiente forma:</w:t>
      </w:r>
    </w:p>
    <w:p w14:paraId="6A61D397" w14:textId="77777777" w:rsidR="00993DFA" w:rsidRPr="00985B97" w:rsidRDefault="00993DFA" w:rsidP="00721806">
      <w:pPr>
        <w:pStyle w:val="Prrafodelista"/>
        <w:numPr>
          <w:ilvl w:val="0"/>
          <w:numId w:val="54"/>
        </w:numPr>
        <w:rPr>
          <w:rFonts w:asciiTheme="majorHAnsi" w:hAnsiTheme="majorHAnsi" w:cstheme="majorHAnsi"/>
          <w:lang w:val="es-ES"/>
        </w:rPr>
      </w:pPr>
      <w:r w:rsidRPr="00985B97">
        <w:rPr>
          <w:rFonts w:asciiTheme="majorHAnsi" w:hAnsiTheme="majorHAnsi" w:cstheme="majorHAnsi"/>
          <w:lang w:val="es-ES"/>
        </w:rPr>
        <w:t xml:space="preserve">Análisis cualitativo de resultados de la información recabada, teniendo en cuenta los resultados del documento </w:t>
      </w:r>
      <w:r w:rsidRPr="00985B97">
        <w:rPr>
          <w:rFonts w:asciiTheme="majorHAnsi" w:hAnsiTheme="majorHAnsi" w:cstheme="majorHAnsi"/>
          <w:i/>
          <w:iCs/>
          <w:lang w:val="es-ES"/>
        </w:rPr>
        <w:t>Diagnóstico sectorial y legislativo del Ministerio de Minas y Energía en el marco de la Transición Energética Justa</w:t>
      </w:r>
      <w:r w:rsidRPr="00985B97">
        <w:rPr>
          <w:rFonts w:asciiTheme="majorHAnsi" w:hAnsiTheme="majorHAnsi" w:cstheme="majorHAnsi"/>
          <w:lang w:val="es-ES"/>
        </w:rPr>
        <w:t>.</w:t>
      </w:r>
    </w:p>
    <w:p w14:paraId="45FF3B2C" w14:textId="77777777" w:rsidR="00F37424" w:rsidRPr="00985B97" w:rsidRDefault="00993DFA" w:rsidP="00721806">
      <w:pPr>
        <w:pStyle w:val="Prrafodelista"/>
        <w:numPr>
          <w:ilvl w:val="0"/>
          <w:numId w:val="54"/>
        </w:numPr>
        <w:rPr>
          <w:rFonts w:asciiTheme="majorHAnsi" w:hAnsiTheme="majorHAnsi" w:cstheme="majorHAnsi"/>
          <w:lang w:val="es-ES"/>
        </w:rPr>
      </w:pPr>
      <w:r w:rsidRPr="00985B97">
        <w:rPr>
          <w:rFonts w:asciiTheme="majorHAnsi" w:hAnsiTheme="majorHAnsi" w:cstheme="majorHAnsi"/>
          <w:lang w:val="es-ES"/>
        </w:rPr>
        <w:t xml:space="preserve">Diseño de una propuesta de estrategias institucionales para el mejoramiento de la relación entre Estado-ciudadanía y para acelerar la implementación de la TEJ, y validación preliminar con actores de interés. </w:t>
      </w:r>
    </w:p>
    <w:p w14:paraId="6B8DCF5D" w14:textId="77777777" w:rsidR="00F37424" w:rsidRPr="00985B97" w:rsidRDefault="00F37424" w:rsidP="00A86834">
      <w:pPr>
        <w:pStyle w:val="Ttulo1"/>
      </w:pPr>
      <w:bookmarkStart w:id="113" w:name="_Toc235107987"/>
      <w:r w:rsidRPr="00985B97">
        <w:t>Referencias</w:t>
      </w:r>
      <w:bookmarkEnd w:id="113"/>
    </w:p>
    <w:p w14:paraId="3A590E75" w14:textId="77777777" w:rsidR="00F37424" w:rsidRPr="00985B97" w:rsidRDefault="00F37424" w:rsidP="00985B97">
      <w:pPr>
        <w:jc w:val="both"/>
        <w:rPr>
          <w:rFonts w:asciiTheme="majorHAnsi" w:hAnsiTheme="majorHAnsi" w:cstheme="majorHAnsi"/>
          <w:lang w:val="en-US"/>
        </w:rPr>
      </w:pPr>
      <w:r w:rsidRPr="00985B97">
        <w:rPr>
          <w:rFonts w:asciiTheme="majorHAnsi" w:hAnsiTheme="majorHAnsi" w:cstheme="majorHAnsi"/>
        </w:rPr>
        <w:t xml:space="preserve">García D. (2013). La transición energética en Alemania y su impacto en la Unión Europea: implicaciones para la seguridad energética del proceso de descarbonización económica. </w:t>
      </w:r>
      <w:r w:rsidRPr="00985B97">
        <w:rPr>
          <w:rFonts w:asciiTheme="majorHAnsi" w:hAnsiTheme="majorHAnsi" w:cstheme="majorHAnsi"/>
          <w:lang w:val="en-US"/>
        </w:rPr>
        <w:t xml:space="preserve">Madrid: Universidad </w:t>
      </w:r>
      <w:proofErr w:type="spellStart"/>
      <w:r w:rsidRPr="00985B97">
        <w:rPr>
          <w:rFonts w:asciiTheme="majorHAnsi" w:hAnsiTheme="majorHAnsi" w:cstheme="majorHAnsi"/>
          <w:lang w:val="en-US"/>
        </w:rPr>
        <w:t>Complutenese</w:t>
      </w:r>
      <w:proofErr w:type="spellEnd"/>
      <w:r w:rsidRPr="00985B97">
        <w:rPr>
          <w:rFonts w:asciiTheme="majorHAnsi" w:hAnsiTheme="majorHAnsi" w:cstheme="majorHAnsi"/>
          <w:lang w:val="en-US"/>
        </w:rPr>
        <w:t xml:space="preserve"> de Madrid.</w:t>
      </w:r>
    </w:p>
    <w:p w14:paraId="058C7919" w14:textId="77777777" w:rsidR="00F37424" w:rsidRPr="00985B97" w:rsidRDefault="00F37424" w:rsidP="00985B97">
      <w:pPr>
        <w:jc w:val="both"/>
        <w:rPr>
          <w:rFonts w:asciiTheme="majorHAnsi" w:hAnsiTheme="majorHAnsi" w:cstheme="majorHAnsi"/>
        </w:rPr>
      </w:pPr>
      <w:r w:rsidRPr="00985B97">
        <w:rPr>
          <w:rFonts w:asciiTheme="majorHAnsi" w:hAnsiTheme="majorHAnsi" w:cstheme="majorHAnsi"/>
          <w:lang w:val="en-US"/>
        </w:rPr>
        <w:t xml:space="preserve">Hake, J., Fischer, W. </w:t>
      </w:r>
      <w:proofErr w:type="spellStart"/>
      <w:r w:rsidRPr="00985B97">
        <w:rPr>
          <w:rFonts w:asciiTheme="majorHAnsi" w:hAnsiTheme="majorHAnsi" w:cstheme="majorHAnsi"/>
          <w:lang w:val="en-US"/>
        </w:rPr>
        <w:t>Venghaus</w:t>
      </w:r>
      <w:proofErr w:type="spellEnd"/>
      <w:r w:rsidRPr="00985B97">
        <w:rPr>
          <w:rFonts w:asciiTheme="majorHAnsi" w:hAnsiTheme="majorHAnsi" w:cstheme="majorHAnsi"/>
          <w:lang w:val="en-US"/>
        </w:rPr>
        <w:t xml:space="preserve">, S., y </w:t>
      </w:r>
      <w:proofErr w:type="spellStart"/>
      <w:r w:rsidRPr="00985B97">
        <w:rPr>
          <w:rFonts w:asciiTheme="majorHAnsi" w:hAnsiTheme="majorHAnsi" w:cstheme="majorHAnsi"/>
          <w:lang w:val="en-US"/>
        </w:rPr>
        <w:t>Weckebnrock</w:t>
      </w:r>
      <w:proofErr w:type="spellEnd"/>
      <w:r w:rsidRPr="00985B97">
        <w:rPr>
          <w:rFonts w:asciiTheme="majorHAnsi" w:hAnsiTheme="majorHAnsi" w:cstheme="majorHAnsi"/>
          <w:lang w:val="en-US"/>
        </w:rPr>
        <w:t>, C. (2015</w:t>
      </w:r>
      <w:proofErr w:type="gramStart"/>
      <w:r w:rsidRPr="00985B97">
        <w:rPr>
          <w:rFonts w:asciiTheme="majorHAnsi" w:hAnsiTheme="majorHAnsi" w:cstheme="majorHAnsi"/>
          <w:lang w:val="en-US"/>
        </w:rPr>
        <w:t>).The</w:t>
      </w:r>
      <w:proofErr w:type="gramEnd"/>
      <w:r w:rsidRPr="00985B97">
        <w:rPr>
          <w:rFonts w:asciiTheme="majorHAnsi" w:hAnsiTheme="majorHAnsi" w:cstheme="majorHAnsi"/>
          <w:lang w:val="en-US"/>
        </w:rPr>
        <w:t xml:space="preserve"> German </w:t>
      </w:r>
      <w:proofErr w:type="spellStart"/>
      <w:r w:rsidRPr="00985B97">
        <w:rPr>
          <w:rFonts w:asciiTheme="majorHAnsi" w:hAnsiTheme="majorHAnsi" w:cstheme="majorHAnsi"/>
          <w:lang w:val="en-US"/>
        </w:rPr>
        <w:t>Energiewende</w:t>
      </w:r>
      <w:proofErr w:type="spellEnd"/>
      <w:r w:rsidRPr="00985B97">
        <w:rPr>
          <w:rFonts w:asciiTheme="majorHAnsi" w:hAnsiTheme="majorHAnsi" w:cstheme="majorHAnsi"/>
          <w:lang w:val="en-US"/>
        </w:rPr>
        <w:t xml:space="preserve"> – History and status quo. </w:t>
      </w:r>
      <w:r w:rsidRPr="00985B97">
        <w:rPr>
          <w:rFonts w:asciiTheme="majorHAnsi" w:hAnsiTheme="majorHAnsi" w:cstheme="majorHAnsi"/>
        </w:rPr>
        <w:t xml:space="preserve">Recuperado de: </w:t>
      </w:r>
      <w:hyperlink r:id="rId53">
        <w:r w:rsidRPr="00985B97">
          <w:rPr>
            <w:rStyle w:val="Hipervnculo"/>
            <w:rFonts w:asciiTheme="majorHAnsi" w:hAnsiTheme="majorHAnsi" w:cstheme="majorHAnsi"/>
          </w:rPr>
          <w:t>https://www.sciencedirect.com/science/article/abs/pii/S0360544215004594</w:t>
        </w:r>
      </w:hyperlink>
      <w:r w:rsidRPr="00985B97">
        <w:rPr>
          <w:rFonts w:asciiTheme="majorHAnsi" w:hAnsiTheme="majorHAnsi" w:cstheme="majorHAnsi"/>
        </w:rPr>
        <w:t xml:space="preserve"> </w:t>
      </w:r>
    </w:p>
    <w:p w14:paraId="790E5858" w14:textId="77777777" w:rsidR="00F37424" w:rsidRPr="00985B97" w:rsidRDefault="00F37424" w:rsidP="00985B97">
      <w:pPr>
        <w:jc w:val="both"/>
        <w:rPr>
          <w:rFonts w:asciiTheme="majorHAnsi" w:hAnsiTheme="majorHAnsi" w:cstheme="majorHAnsi"/>
        </w:rPr>
      </w:pPr>
      <w:r w:rsidRPr="00985B97">
        <w:rPr>
          <w:rFonts w:asciiTheme="majorHAnsi" w:hAnsiTheme="majorHAnsi" w:cstheme="majorHAnsi"/>
        </w:rPr>
        <w:t xml:space="preserve">Ministerio Federal de Economía y Acción Climática (2025) Organigrama. Recuperado de:  </w:t>
      </w:r>
      <w:hyperlink r:id="rId54">
        <w:r w:rsidRPr="00985B97">
          <w:rPr>
            <w:rStyle w:val="Hipervnculo"/>
            <w:rFonts w:asciiTheme="majorHAnsi" w:hAnsiTheme="majorHAnsi" w:cstheme="majorHAnsi"/>
          </w:rPr>
          <w:t>https://www.bundeswirtschaftsministerium.de/Redaktion/DE/Downloads/M-O/organisationsplan-bundeswirtschaftsministerium.pdf?__blob=publicationFile&amp;v=1</w:t>
        </w:r>
      </w:hyperlink>
      <w:r w:rsidRPr="00985B97">
        <w:rPr>
          <w:rFonts w:asciiTheme="majorHAnsi" w:hAnsiTheme="majorHAnsi" w:cstheme="majorHAnsi"/>
        </w:rPr>
        <w:t xml:space="preserve"> </w:t>
      </w:r>
    </w:p>
    <w:p w14:paraId="366024E0" w14:textId="77777777" w:rsidR="00F37424" w:rsidRPr="00985B97" w:rsidRDefault="00F37424" w:rsidP="00985B97">
      <w:pPr>
        <w:jc w:val="both"/>
        <w:rPr>
          <w:rFonts w:asciiTheme="majorHAnsi" w:hAnsiTheme="majorHAnsi" w:cstheme="majorHAnsi"/>
          <w:lang w:val="en-US"/>
        </w:rPr>
      </w:pPr>
      <w:r w:rsidRPr="00985B97">
        <w:rPr>
          <w:rFonts w:asciiTheme="majorHAnsi" w:hAnsiTheme="majorHAnsi" w:cstheme="majorHAnsi"/>
          <w:lang w:val="en-US"/>
        </w:rPr>
        <w:t xml:space="preserve">Moss, T; Becker, S y Nauman, M. (2014). Whose energy transition is it, anyway? </w:t>
      </w:r>
      <w:proofErr w:type="spellStart"/>
      <w:r w:rsidRPr="00985B97">
        <w:rPr>
          <w:rFonts w:asciiTheme="majorHAnsi" w:hAnsiTheme="majorHAnsi" w:cstheme="majorHAnsi"/>
          <w:lang w:val="en-US"/>
        </w:rPr>
        <w:t>Organisation</w:t>
      </w:r>
      <w:proofErr w:type="spellEnd"/>
      <w:r w:rsidRPr="00985B97">
        <w:rPr>
          <w:rFonts w:asciiTheme="majorHAnsi" w:hAnsiTheme="majorHAnsi" w:cstheme="majorHAnsi"/>
          <w:lang w:val="en-US"/>
        </w:rPr>
        <w:t xml:space="preserve"> and ownership of the </w:t>
      </w:r>
      <w:proofErr w:type="spellStart"/>
      <w:r w:rsidRPr="00985B97">
        <w:rPr>
          <w:rFonts w:asciiTheme="majorHAnsi" w:hAnsiTheme="majorHAnsi" w:cstheme="majorHAnsi"/>
          <w:lang w:val="en-US"/>
        </w:rPr>
        <w:t>Energiewende</w:t>
      </w:r>
      <w:proofErr w:type="spellEnd"/>
      <w:r w:rsidRPr="00985B97">
        <w:rPr>
          <w:rFonts w:asciiTheme="majorHAnsi" w:hAnsiTheme="majorHAnsi" w:cstheme="majorHAnsi"/>
          <w:lang w:val="en-US"/>
        </w:rPr>
        <w:t xml:space="preserve"> in villages, cities and regions, Local Environment: The International Journal of Justice and Sustainability, DOI: 10.1080/13549839.2014.915799 </w:t>
      </w:r>
    </w:p>
    <w:p w14:paraId="2173776C" w14:textId="77777777" w:rsidR="00F37424" w:rsidRPr="00985B97" w:rsidRDefault="00F37424" w:rsidP="00985B97">
      <w:pPr>
        <w:jc w:val="both"/>
        <w:rPr>
          <w:rFonts w:asciiTheme="majorHAnsi" w:hAnsiTheme="majorHAnsi" w:cstheme="majorHAnsi"/>
        </w:rPr>
      </w:pPr>
      <w:r w:rsidRPr="00985B97">
        <w:rPr>
          <w:rFonts w:asciiTheme="majorHAnsi" w:hAnsiTheme="majorHAnsi" w:cstheme="majorHAnsi"/>
          <w:lang w:val="en-US"/>
        </w:rPr>
        <w:lastRenderedPageBreak/>
        <w:t xml:space="preserve">Schiffer, H. y </w:t>
      </w:r>
      <w:proofErr w:type="spellStart"/>
      <w:r w:rsidRPr="00985B97">
        <w:rPr>
          <w:rFonts w:asciiTheme="majorHAnsi" w:hAnsiTheme="majorHAnsi" w:cstheme="majorHAnsi"/>
          <w:lang w:val="en-US"/>
        </w:rPr>
        <w:t>Trüby</w:t>
      </w:r>
      <w:proofErr w:type="spellEnd"/>
      <w:r w:rsidRPr="00985B97">
        <w:rPr>
          <w:rFonts w:asciiTheme="majorHAnsi" w:hAnsiTheme="majorHAnsi" w:cstheme="majorHAnsi"/>
          <w:lang w:val="en-US"/>
        </w:rPr>
        <w:t xml:space="preserve">, J. (2018). A review of the German energy transition: taking stock, looking ahead, and drawing conclusions for the Middle East and North Africa. </w:t>
      </w:r>
      <w:r w:rsidRPr="00985B97">
        <w:rPr>
          <w:rFonts w:asciiTheme="majorHAnsi" w:hAnsiTheme="majorHAnsi" w:cstheme="majorHAnsi"/>
        </w:rPr>
        <w:t xml:space="preserve">Recuperado de: </w:t>
      </w:r>
      <w:hyperlink r:id="rId55">
        <w:r w:rsidRPr="00985B97">
          <w:rPr>
            <w:rStyle w:val="Hipervnculo"/>
            <w:rFonts w:asciiTheme="majorHAnsi" w:hAnsiTheme="majorHAnsi" w:cstheme="majorHAnsi"/>
          </w:rPr>
          <w:t>https://link.springer.com/article/10.1007/s41825-018-0010-2</w:t>
        </w:r>
      </w:hyperlink>
      <w:r w:rsidRPr="00985B97">
        <w:rPr>
          <w:rFonts w:asciiTheme="majorHAnsi" w:hAnsiTheme="majorHAnsi" w:cstheme="majorHAnsi"/>
        </w:rPr>
        <w:t xml:space="preserve"> </w:t>
      </w:r>
    </w:p>
    <w:p w14:paraId="65B9401A" w14:textId="77777777" w:rsidR="00F37424" w:rsidRPr="00985B97" w:rsidRDefault="00F37424" w:rsidP="00985B97">
      <w:pPr>
        <w:jc w:val="both"/>
        <w:rPr>
          <w:rFonts w:asciiTheme="majorHAnsi" w:hAnsiTheme="majorHAnsi" w:cstheme="majorHAnsi"/>
        </w:rPr>
      </w:pPr>
      <w:proofErr w:type="spellStart"/>
      <w:r w:rsidRPr="00985B97">
        <w:rPr>
          <w:rFonts w:asciiTheme="majorHAnsi" w:hAnsiTheme="majorHAnsi" w:cstheme="majorHAnsi"/>
        </w:rPr>
        <w:t>Ember</w:t>
      </w:r>
      <w:proofErr w:type="spellEnd"/>
      <w:r w:rsidRPr="00985B97">
        <w:rPr>
          <w:rFonts w:asciiTheme="majorHAnsi" w:hAnsiTheme="majorHAnsi" w:cstheme="majorHAnsi"/>
        </w:rPr>
        <w:t xml:space="preserve"> Energy (2026). </w:t>
      </w:r>
      <w:r w:rsidRPr="00985B97">
        <w:rPr>
          <w:rFonts w:asciiTheme="majorHAnsi" w:hAnsiTheme="majorHAnsi" w:cstheme="majorHAnsi"/>
          <w:lang w:val="en-US"/>
        </w:rPr>
        <w:t xml:space="preserve">“Shared of installed capacity in Uruguay”. </w:t>
      </w:r>
      <w:r w:rsidRPr="00985B97">
        <w:rPr>
          <w:rFonts w:asciiTheme="majorHAnsi" w:hAnsiTheme="majorHAnsi" w:cstheme="majorHAnsi"/>
        </w:rPr>
        <w:t xml:space="preserve">Recuperado de: </w:t>
      </w:r>
      <w:hyperlink r:id="rId56">
        <w:r w:rsidRPr="00985B97">
          <w:rPr>
            <w:rStyle w:val="Hipervnculo"/>
            <w:rFonts w:asciiTheme="majorHAnsi" w:hAnsiTheme="majorHAnsi" w:cstheme="majorHAnsi"/>
          </w:rPr>
          <w:t>https://ember-energy.org/data/electricity-data-explorer/?entity=Uruguay&amp;metric=pct_share&amp;data=capacity&amp;temporal_res=yearly</w:t>
        </w:r>
      </w:hyperlink>
      <w:r w:rsidRPr="00985B97">
        <w:rPr>
          <w:rFonts w:asciiTheme="majorHAnsi" w:hAnsiTheme="majorHAnsi" w:cstheme="majorHAnsi"/>
        </w:rPr>
        <w:t xml:space="preserve"> </w:t>
      </w:r>
    </w:p>
    <w:p w14:paraId="0EDD056F" w14:textId="77777777" w:rsidR="00F37424" w:rsidRPr="00985B97" w:rsidRDefault="00F37424" w:rsidP="00985B97">
      <w:pPr>
        <w:jc w:val="both"/>
        <w:rPr>
          <w:rFonts w:asciiTheme="majorHAnsi" w:hAnsiTheme="majorHAnsi" w:cstheme="majorHAnsi"/>
        </w:rPr>
      </w:pPr>
      <w:r w:rsidRPr="00985B97">
        <w:rPr>
          <w:rFonts w:asciiTheme="majorHAnsi" w:hAnsiTheme="majorHAnsi" w:cstheme="majorHAnsi"/>
        </w:rPr>
        <w:t xml:space="preserve">Fundación IVY y POLEN TJ (2025). Transición Energética Justa en Colombia. Ruta técnica para un sistema eléctrico confiable, limpio y de menor costo en Colombia. Recuperado de: </w:t>
      </w:r>
      <w:hyperlink r:id="rId57" w:history="1">
        <w:r w:rsidRPr="00985B97">
          <w:rPr>
            <w:rStyle w:val="Hipervnculo"/>
            <w:rFonts w:asciiTheme="majorHAnsi" w:hAnsiTheme="majorHAnsi" w:cstheme="majorHAnsi"/>
          </w:rPr>
          <w:t>https://fundacionivy.org/wp-content/uploads/2025/10/INFORME-COLOMBIA-IVY-POLEN-REV12-21-10-2025-1.pdf</w:t>
        </w:r>
      </w:hyperlink>
    </w:p>
    <w:p w14:paraId="50261A96" w14:textId="77777777" w:rsidR="00F37424" w:rsidRPr="00985B97" w:rsidRDefault="00F37424" w:rsidP="00985B97">
      <w:pPr>
        <w:jc w:val="both"/>
        <w:rPr>
          <w:rFonts w:asciiTheme="majorHAnsi" w:hAnsiTheme="majorHAnsi" w:cstheme="majorHAnsi"/>
        </w:rPr>
      </w:pPr>
      <w:r w:rsidRPr="00985B97">
        <w:rPr>
          <w:rFonts w:asciiTheme="majorHAnsi" w:hAnsiTheme="majorHAnsi" w:cstheme="majorHAnsi"/>
        </w:rPr>
        <w:t xml:space="preserve">Méndez, R. (2025). Ruta técnica para un sistema eléctrico confiable, limpio y de menor costo en Colombia. Recuperado de: </w:t>
      </w:r>
      <w:hyperlink r:id="rId58">
        <w:r w:rsidRPr="00985B97">
          <w:rPr>
            <w:rStyle w:val="Hipervnculo"/>
            <w:rFonts w:asciiTheme="majorHAnsi" w:hAnsiTheme="majorHAnsi" w:cstheme="majorHAnsi"/>
          </w:rPr>
          <w:t>https://www.youtube.com/watch?v=qizFlczGEug&amp;t=22185s</w:t>
        </w:r>
      </w:hyperlink>
      <w:r w:rsidRPr="00985B97">
        <w:rPr>
          <w:rFonts w:asciiTheme="majorHAnsi" w:hAnsiTheme="majorHAnsi" w:cstheme="majorHAnsi"/>
        </w:rPr>
        <w:t xml:space="preserve"> (Minuto 5:25:34).</w:t>
      </w:r>
    </w:p>
    <w:p w14:paraId="60D6CD39" w14:textId="77777777" w:rsidR="00F37424" w:rsidRPr="00985B97" w:rsidRDefault="00F37424" w:rsidP="00985B97">
      <w:pPr>
        <w:jc w:val="both"/>
        <w:rPr>
          <w:rFonts w:asciiTheme="majorHAnsi" w:hAnsiTheme="majorHAnsi" w:cstheme="majorHAnsi"/>
        </w:rPr>
      </w:pPr>
      <w:r w:rsidRPr="00985B97">
        <w:rPr>
          <w:rFonts w:asciiTheme="majorHAnsi" w:hAnsiTheme="majorHAnsi" w:cstheme="majorHAnsi"/>
        </w:rPr>
        <w:t xml:space="preserve">Ministerio de Industria, Energía y Minería de Uruguay (s.f.) Creación y evolución histórica. Recuperado de:  </w:t>
      </w:r>
      <w:hyperlink r:id="rId59">
        <w:r w:rsidRPr="00985B97">
          <w:rPr>
            <w:rStyle w:val="Hipervnculo"/>
            <w:rFonts w:asciiTheme="majorHAnsi" w:hAnsiTheme="majorHAnsi" w:cstheme="majorHAnsi"/>
          </w:rPr>
          <w:t>https://www.gub.uy/ministerio-industria-energia-mineria/institucional/creacion-evolucion-historica</w:t>
        </w:r>
      </w:hyperlink>
      <w:r w:rsidRPr="00985B97">
        <w:rPr>
          <w:rFonts w:asciiTheme="majorHAnsi" w:hAnsiTheme="majorHAnsi" w:cstheme="majorHAnsi"/>
        </w:rPr>
        <w:t xml:space="preserve"> </w:t>
      </w:r>
    </w:p>
    <w:p w14:paraId="2B8BF0A8" w14:textId="77777777" w:rsidR="00F37424" w:rsidRPr="00985B97" w:rsidRDefault="00F37424" w:rsidP="00985B97">
      <w:pPr>
        <w:jc w:val="both"/>
        <w:rPr>
          <w:rFonts w:asciiTheme="majorHAnsi" w:hAnsiTheme="majorHAnsi" w:cstheme="majorHAnsi"/>
        </w:rPr>
      </w:pPr>
      <w:r w:rsidRPr="00985B97">
        <w:rPr>
          <w:rFonts w:asciiTheme="majorHAnsi" w:hAnsiTheme="majorHAnsi" w:cstheme="majorHAnsi"/>
        </w:rPr>
        <w:t>Ministerio de Industria, Energía y Minería de Uruguay, (</w:t>
      </w:r>
      <w:proofErr w:type="spellStart"/>
      <w:r w:rsidRPr="00985B97">
        <w:rPr>
          <w:rFonts w:asciiTheme="majorHAnsi" w:hAnsiTheme="majorHAnsi" w:cstheme="majorHAnsi"/>
        </w:rPr>
        <w:t>s.f.b</w:t>
      </w:r>
      <w:proofErr w:type="spellEnd"/>
      <w:r w:rsidRPr="00985B97">
        <w:rPr>
          <w:rFonts w:asciiTheme="majorHAnsi" w:hAnsiTheme="majorHAnsi" w:cstheme="majorHAnsi"/>
        </w:rPr>
        <w:t xml:space="preserve">). Estructura del organismo. Recuperado de: </w:t>
      </w:r>
      <w:hyperlink r:id="rId60">
        <w:r w:rsidRPr="00985B97">
          <w:rPr>
            <w:rStyle w:val="Hipervnculo"/>
            <w:rFonts w:asciiTheme="majorHAnsi" w:hAnsiTheme="majorHAnsi" w:cstheme="majorHAnsi"/>
          </w:rPr>
          <w:t>https://www.gub.uy/ministerio-industria-energia-mineria/institucional/estructura-del-organismo</w:t>
        </w:r>
      </w:hyperlink>
    </w:p>
    <w:p w14:paraId="329C148E" w14:textId="77777777" w:rsidR="00F37424" w:rsidRPr="00985B97" w:rsidRDefault="00F37424" w:rsidP="00985B97">
      <w:pPr>
        <w:jc w:val="both"/>
        <w:rPr>
          <w:rFonts w:asciiTheme="majorHAnsi" w:hAnsiTheme="majorHAnsi" w:cstheme="majorHAnsi"/>
          <w:lang w:val="en-US"/>
        </w:rPr>
      </w:pPr>
      <w:r w:rsidRPr="00985B97">
        <w:rPr>
          <w:rFonts w:asciiTheme="majorHAnsi" w:hAnsiTheme="majorHAnsi" w:cstheme="majorHAnsi"/>
        </w:rPr>
        <w:t xml:space="preserve">Bertino, M. (2013). La reforma de las empresas públicas en Uruguay: Una lectura desde la historia económica. En Chávez, D. y Torres, S. (editores) (2013).  La reinvención del Estado: Empresas públicas y desarrollo en Uruguay, América Latina y el mundo. </w:t>
      </w:r>
      <w:r w:rsidRPr="00985B97">
        <w:rPr>
          <w:rFonts w:asciiTheme="majorHAnsi" w:hAnsiTheme="majorHAnsi" w:cstheme="majorHAnsi"/>
          <w:lang w:val="en-US"/>
        </w:rPr>
        <w:t xml:space="preserve">Montevideo: TNI, ANTEL y MIEM. </w:t>
      </w:r>
    </w:p>
    <w:p w14:paraId="28CD55EB" w14:textId="77777777" w:rsidR="00F37424" w:rsidRPr="00985B97" w:rsidRDefault="00F37424" w:rsidP="00985B97">
      <w:pPr>
        <w:jc w:val="both"/>
        <w:rPr>
          <w:rFonts w:asciiTheme="majorHAnsi" w:hAnsiTheme="majorHAnsi" w:cstheme="majorHAnsi"/>
          <w:lang w:val="en-US"/>
        </w:rPr>
      </w:pPr>
      <w:proofErr w:type="spellStart"/>
      <w:r w:rsidRPr="00985B97">
        <w:rPr>
          <w:rFonts w:asciiTheme="majorHAnsi" w:hAnsiTheme="majorHAnsi" w:cstheme="majorHAnsi"/>
          <w:lang w:val="en-US"/>
        </w:rPr>
        <w:t>Kemmerzel</w:t>
      </w:r>
      <w:proofErr w:type="spellEnd"/>
      <w:r w:rsidRPr="00985B97">
        <w:rPr>
          <w:rFonts w:asciiTheme="majorHAnsi" w:hAnsiTheme="majorHAnsi" w:cstheme="majorHAnsi"/>
          <w:lang w:val="en-US"/>
        </w:rPr>
        <w:t xml:space="preserve">, J (2022). Energy Governance in Germany. </w:t>
      </w:r>
      <w:r w:rsidRPr="00985B97">
        <w:rPr>
          <w:rFonts w:asciiTheme="majorHAnsi" w:hAnsiTheme="majorHAnsi" w:cstheme="majorHAnsi"/>
        </w:rPr>
        <w:t xml:space="preserve">En </w:t>
      </w:r>
      <w:proofErr w:type="spellStart"/>
      <w:r w:rsidRPr="00985B97">
        <w:rPr>
          <w:rFonts w:asciiTheme="majorHAnsi" w:hAnsiTheme="majorHAnsi" w:cstheme="majorHAnsi"/>
        </w:rPr>
        <w:t>Knodt</w:t>
      </w:r>
      <w:proofErr w:type="spellEnd"/>
      <w:r w:rsidRPr="00985B97">
        <w:rPr>
          <w:rFonts w:asciiTheme="majorHAnsi" w:hAnsiTheme="majorHAnsi" w:cstheme="majorHAnsi"/>
        </w:rPr>
        <w:t xml:space="preserve">, M. y </w:t>
      </w:r>
      <w:proofErr w:type="spellStart"/>
      <w:r w:rsidRPr="00985B97">
        <w:rPr>
          <w:rFonts w:asciiTheme="majorHAnsi" w:hAnsiTheme="majorHAnsi" w:cstheme="majorHAnsi"/>
        </w:rPr>
        <w:t>Kemmerzell</w:t>
      </w:r>
      <w:proofErr w:type="spellEnd"/>
      <w:r w:rsidRPr="00985B97">
        <w:rPr>
          <w:rFonts w:asciiTheme="majorHAnsi" w:hAnsiTheme="majorHAnsi" w:cstheme="majorHAnsi"/>
        </w:rPr>
        <w:t xml:space="preserve"> (editores) (2022). </w:t>
      </w:r>
      <w:r w:rsidRPr="00985B97">
        <w:rPr>
          <w:rFonts w:asciiTheme="majorHAnsi" w:hAnsiTheme="majorHAnsi" w:cstheme="majorHAnsi"/>
          <w:lang w:val="en-US"/>
        </w:rPr>
        <w:t xml:space="preserve">Handbook of Energy Governance in Europe. </w:t>
      </w:r>
      <w:proofErr w:type="spellStart"/>
      <w:r w:rsidRPr="00985B97">
        <w:rPr>
          <w:rFonts w:asciiTheme="majorHAnsi" w:hAnsiTheme="majorHAnsi" w:cstheme="majorHAnsi"/>
          <w:lang w:val="en-US"/>
        </w:rPr>
        <w:t>Suiza</w:t>
      </w:r>
      <w:proofErr w:type="spellEnd"/>
      <w:r w:rsidRPr="00985B97">
        <w:rPr>
          <w:rFonts w:asciiTheme="majorHAnsi" w:hAnsiTheme="majorHAnsi" w:cstheme="majorHAnsi"/>
          <w:lang w:val="en-US"/>
        </w:rPr>
        <w:t xml:space="preserve">: Springer. 667-708. </w:t>
      </w:r>
    </w:p>
    <w:p w14:paraId="6865D30A" w14:textId="77777777" w:rsidR="00993DFA" w:rsidRPr="00985B97" w:rsidRDefault="00993DFA" w:rsidP="00AE2626">
      <w:pPr>
        <w:jc w:val="both"/>
        <w:rPr>
          <w:rFonts w:asciiTheme="majorHAnsi" w:hAnsiTheme="majorHAnsi" w:cstheme="majorHAnsi"/>
        </w:rPr>
      </w:pPr>
      <w:proofErr w:type="spellStart"/>
      <w:r w:rsidRPr="00985B97">
        <w:rPr>
          <w:rFonts w:asciiTheme="majorHAnsi" w:hAnsiTheme="majorHAnsi" w:cstheme="majorHAnsi"/>
          <w:lang w:val="en-US"/>
        </w:rPr>
        <w:t>Ariztía</w:t>
      </w:r>
      <w:proofErr w:type="spellEnd"/>
      <w:r w:rsidRPr="00985B97">
        <w:rPr>
          <w:rFonts w:asciiTheme="majorHAnsi" w:hAnsiTheme="majorHAnsi" w:cstheme="majorHAnsi"/>
          <w:lang w:val="en-US"/>
        </w:rPr>
        <w:t xml:space="preserve">, T. (2017). </w:t>
      </w:r>
      <w:r w:rsidRPr="00985B97">
        <w:rPr>
          <w:rFonts w:asciiTheme="majorHAnsi" w:hAnsiTheme="majorHAnsi" w:cstheme="majorHAnsi"/>
          <w:i/>
          <w:iCs/>
        </w:rPr>
        <w:t>La teoría de las prácticas sociales: particularidades, posibilidades y límites</w:t>
      </w:r>
      <w:r w:rsidRPr="00985B97">
        <w:rPr>
          <w:rFonts w:asciiTheme="majorHAnsi" w:hAnsiTheme="majorHAnsi" w:cstheme="majorHAnsi"/>
        </w:rPr>
        <w:t xml:space="preserve">. </w:t>
      </w:r>
      <w:r w:rsidRPr="00985B97">
        <w:rPr>
          <w:rFonts w:asciiTheme="majorHAnsi" w:hAnsiTheme="majorHAnsi" w:cstheme="majorHAnsi"/>
          <w:i/>
          <w:iCs/>
        </w:rPr>
        <w:t xml:space="preserve">Cinta de </w:t>
      </w:r>
      <w:proofErr w:type="spellStart"/>
      <w:r w:rsidRPr="00985B97">
        <w:rPr>
          <w:rFonts w:asciiTheme="majorHAnsi" w:hAnsiTheme="majorHAnsi" w:cstheme="majorHAnsi"/>
          <w:i/>
          <w:iCs/>
        </w:rPr>
        <w:t>Moebio</w:t>
      </w:r>
      <w:proofErr w:type="spellEnd"/>
      <w:r w:rsidRPr="00985B97">
        <w:rPr>
          <w:rFonts w:asciiTheme="majorHAnsi" w:hAnsiTheme="majorHAnsi" w:cstheme="majorHAnsi"/>
          <w:i/>
          <w:iCs/>
        </w:rPr>
        <w:t>, 59</w:t>
      </w:r>
      <w:r w:rsidRPr="00985B97">
        <w:rPr>
          <w:rFonts w:asciiTheme="majorHAnsi" w:hAnsiTheme="majorHAnsi" w:cstheme="majorHAnsi"/>
        </w:rPr>
        <w:t xml:space="preserve">, 221–234. </w:t>
      </w:r>
      <w:hyperlink r:id="rId61" w:tgtFrame="_new" w:history="1">
        <w:r w:rsidRPr="00985B97">
          <w:rPr>
            <w:rStyle w:val="Hipervnculo"/>
            <w:rFonts w:asciiTheme="majorHAnsi" w:hAnsiTheme="majorHAnsi" w:cstheme="majorHAnsi"/>
          </w:rPr>
          <w:t>https://doi.org/10.4067/S0717-554X2017000200221</w:t>
        </w:r>
      </w:hyperlink>
    </w:p>
    <w:p w14:paraId="255E0917" w14:textId="77777777" w:rsidR="00993DFA" w:rsidRPr="00985B97" w:rsidRDefault="00993DFA" w:rsidP="00AE2626">
      <w:pPr>
        <w:jc w:val="both"/>
        <w:rPr>
          <w:rFonts w:asciiTheme="majorHAnsi" w:hAnsiTheme="majorHAnsi" w:cstheme="majorHAnsi"/>
        </w:rPr>
      </w:pPr>
      <w:r w:rsidRPr="00985B97">
        <w:rPr>
          <w:rFonts w:asciiTheme="majorHAnsi" w:hAnsiTheme="majorHAnsi" w:cstheme="majorHAnsi"/>
        </w:rPr>
        <w:t xml:space="preserve">Astudillo, M. (2012). </w:t>
      </w:r>
      <w:r w:rsidRPr="00985B97">
        <w:rPr>
          <w:rFonts w:asciiTheme="majorHAnsi" w:hAnsiTheme="majorHAnsi" w:cstheme="majorHAnsi"/>
          <w:i/>
          <w:iCs/>
        </w:rPr>
        <w:t>Fundamentos de Economía</w:t>
      </w:r>
      <w:r w:rsidRPr="00985B97">
        <w:rPr>
          <w:rFonts w:asciiTheme="majorHAnsi" w:hAnsiTheme="majorHAnsi" w:cstheme="majorHAnsi"/>
        </w:rPr>
        <w:t xml:space="preserve">. México: UNAM. Recuperado de: </w:t>
      </w:r>
      <w:hyperlink r:id="rId62" w:tgtFrame="_new" w:history="1">
        <w:r w:rsidRPr="00985B97">
          <w:rPr>
            <w:rStyle w:val="Hipervnculo"/>
            <w:rFonts w:asciiTheme="majorHAnsi" w:hAnsiTheme="majorHAnsi" w:cstheme="majorHAnsi"/>
          </w:rPr>
          <w:t>https://ru.iiec.unam.mx/2462/1/FundamentosDeEconomiaSecuenciaCorrecta.pdf</w:t>
        </w:r>
      </w:hyperlink>
    </w:p>
    <w:p w14:paraId="238F84C2" w14:textId="77777777" w:rsidR="00993DFA" w:rsidRPr="00985B97" w:rsidRDefault="00993DFA" w:rsidP="00AE2626">
      <w:pPr>
        <w:jc w:val="both"/>
        <w:rPr>
          <w:rFonts w:asciiTheme="majorHAnsi" w:hAnsiTheme="majorHAnsi" w:cstheme="majorHAnsi"/>
        </w:rPr>
      </w:pPr>
      <w:proofErr w:type="spellStart"/>
      <w:r w:rsidRPr="00985B97">
        <w:rPr>
          <w:rFonts w:asciiTheme="majorHAnsi" w:hAnsiTheme="majorHAnsi" w:cstheme="majorHAnsi"/>
        </w:rPr>
        <w:lastRenderedPageBreak/>
        <w:t>Bhattacharya</w:t>
      </w:r>
      <w:proofErr w:type="spellEnd"/>
      <w:r w:rsidRPr="00985B97">
        <w:rPr>
          <w:rFonts w:asciiTheme="majorHAnsi" w:hAnsiTheme="majorHAnsi" w:cstheme="majorHAnsi"/>
        </w:rPr>
        <w:t xml:space="preserve">, T. (2018). </w:t>
      </w:r>
      <w:r w:rsidRPr="00985B97">
        <w:rPr>
          <w:rFonts w:asciiTheme="majorHAnsi" w:hAnsiTheme="majorHAnsi" w:cstheme="majorHAnsi"/>
          <w:i/>
          <w:iCs/>
        </w:rPr>
        <w:t>¿Qué es la teoría de la reproducción social?</w:t>
      </w:r>
      <w:r w:rsidRPr="00985B97">
        <w:rPr>
          <w:rFonts w:asciiTheme="majorHAnsi" w:hAnsiTheme="majorHAnsi" w:cstheme="majorHAnsi"/>
        </w:rPr>
        <w:t xml:space="preserve"> Marxismo Crítico. Recuperado de </w:t>
      </w:r>
      <w:hyperlink r:id="rId63" w:tgtFrame="_new" w:history="1">
        <w:r w:rsidRPr="00985B97">
          <w:rPr>
            <w:rStyle w:val="Hipervnculo"/>
            <w:rFonts w:asciiTheme="majorHAnsi" w:hAnsiTheme="majorHAnsi" w:cstheme="majorHAnsi"/>
          </w:rPr>
          <w:t>https://marxismocritico.com/2018/09/18/que-es-la-teoria-de-la-reproduccion-social/</w:t>
        </w:r>
      </w:hyperlink>
    </w:p>
    <w:p w14:paraId="53E4D24E" w14:textId="77777777" w:rsidR="00993DFA" w:rsidRPr="00985B97" w:rsidRDefault="00993DFA" w:rsidP="00AE2626">
      <w:pPr>
        <w:jc w:val="both"/>
        <w:rPr>
          <w:rFonts w:asciiTheme="majorHAnsi" w:hAnsiTheme="majorHAnsi" w:cstheme="majorHAnsi"/>
          <w:lang w:val="en-US"/>
        </w:rPr>
      </w:pPr>
      <w:r w:rsidRPr="00985B97">
        <w:rPr>
          <w:rFonts w:asciiTheme="majorHAnsi" w:hAnsiTheme="majorHAnsi" w:cstheme="majorHAnsi"/>
          <w:lang w:val="en-US"/>
        </w:rPr>
        <w:t xml:space="preserve">Biermann, F., &amp; Kim, R. E. (Eds.). (2020). </w:t>
      </w:r>
      <w:r w:rsidRPr="00985B97">
        <w:rPr>
          <w:rFonts w:asciiTheme="majorHAnsi" w:hAnsiTheme="majorHAnsi" w:cstheme="majorHAnsi"/>
          <w:i/>
          <w:iCs/>
          <w:lang w:val="en-US"/>
        </w:rPr>
        <w:t>Architectures of Earth System Governance: Institutional Complexity and Structural Transformation</w:t>
      </w:r>
      <w:r w:rsidRPr="00985B97">
        <w:rPr>
          <w:rFonts w:asciiTheme="majorHAnsi" w:hAnsiTheme="majorHAnsi" w:cstheme="majorHAnsi"/>
          <w:lang w:val="en-US"/>
        </w:rPr>
        <w:t>. Cambridge University Press.</w:t>
      </w:r>
    </w:p>
    <w:p w14:paraId="0C64CD49" w14:textId="77777777" w:rsidR="00993DFA" w:rsidRPr="00985B97" w:rsidRDefault="00993DFA" w:rsidP="00AE2626">
      <w:pPr>
        <w:jc w:val="both"/>
        <w:rPr>
          <w:rFonts w:asciiTheme="majorHAnsi" w:hAnsiTheme="majorHAnsi" w:cstheme="majorHAnsi"/>
        </w:rPr>
      </w:pPr>
      <w:r w:rsidRPr="00985B97">
        <w:rPr>
          <w:rFonts w:asciiTheme="majorHAnsi" w:hAnsiTheme="majorHAnsi" w:cstheme="majorHAnsi"/>
          <w:lang w:val="en-US"/>
        </w:rPr>
        <w:t xml:space="preserve">Biermann, F., </w:t>
      </w:r>
      <w:proofErr w:type="spellStart"/>
      <w:r w:rsidRPr="00985B97">
        <w:rPr>
          <w:rFonts w:asciiTheme="majorHAnsi" w:hAnsiTheme="majorHAnsi" w:cstheme="majorHAnsi"/>
          <w:lang w:val="en-US"/>
        </w:rPr>
        <w:t>Pattberg</w:t>
      </w:r>
      <w:proofErr w:type="spellEnd"/>
      <w:r w:rsidRPr="00985B97">
        <w:rPr>
          <w:rFonts w:asciiTheme="majorHAnsi" w:hAnsiTheme="majorHAnsi" w:cstheme="majorHAnsi"/>
          <w:lang w:val="en-US"/>
        </w:rPr>
        <w:t xml:space="preserve">, P., van Asselt, H., &amp; </w:t>
      </w:r>
      <w:proofErr w:type="spellStart"/>
      <w:r w:rsidRPr="00985B97">
        <w:rPr>
          <w:rFonts w:asciiTheme="majorHAnsi" w:hAnsiTheme="majorHAnsi" w:cstheme="majorHAnsi"/>
          <w:lang w:val="en-US"/>
        </w:rPr>
        <w:t>Zelli</w:t>
      </w:r>
      <w:proofErr w:type="spellEnd"/>
      <w:r w:rsidRPr="00985B97">
        <w:rPr>
          <w:rFonts w:asciiTheme="majorHAnsi" w:hAnsiTheme="majorHAnsi" w:cstheme="majorHAnsi"/>
          <w:lang w:val="en-US"/>
        </w:rPr>
        <w:t xml:space="preserve">, F. (2009). </w:t>
      </w:r>
      <w:r w:rsidRPr="00985B97">
        <w:rPr>
          <w:rFonts w:asciiTheme="majorHAnsi" w:hAnsiTheme="majorHAnsi" w:cstheme="majorHAnsi"/>
          <w:i/>
          <w:iCs/>
          <w:lang w:val="en-US"/>
        </w:rPr>
        <w:t>The Fragmentation of Global Governance Architectures: A Framework for Analysis</w:t>
      </w:r>
      <w:r w:rsidRPr="00985B97">
        <w:rPr>
          <w:rFonts w:asciiTheme="majorHAnsi" w:hAnsiTheme="majorHAnsi" w:cstheme="majorHAnsi"/>
          <w:lang w:val="en-US"/>
        </w:rPr>
        <w:t xml:space="preserve">. </w:t>
      </w:r>
      <w:r w:rsidRPr="00985B97">
        <w:rPr>
          <w:rFonts w:asciiTheme="majorHAnsi" w:hAnsiTheme="majorHAnsi" w:cstheme="majorHAnsi"/>
          <w:i/>
          <w:iCs/>
        </w:rPr>
        <w:t xml:space="preserve">Global </w:t>
      </w:r>
      <w:proofErr w:type="spellStart"/>
      <w:r w:rsidRPr="00985B97">
        <w:rPr>
          <w:rFonts w:asciiTheme="majorHAnsi" w:hAnsiTheme="majorHAnsi" w:cstheme="majorHAnsi"/>
          <w:i/>
          <w:iCs/>
        </w:rPr>
        <w:t>Environmental</w:t>
      </w:r>
      <w:proofErr w:type="spellEnd"/>
      <w:r w:rsidRPr="00985B97">
        <w:rPr>
          <w:rFonts w:asciiTheme="majorHAnsi" w:hAnsiTheme="majorHAnsi" w:cstheme="majorHAnsi"/>
          <w:i/>
          <w:iCs/>
        </w:rPr>
        <w:t xml:space="preserve"> </w:t>
      </w:r>
      <w:proofErr w:type="spellStart"/>
      <w:r w:rsidRPr="00985B97">
        <w:rPr>
          <w:rFonts w:asciiTheme="majorHAnsi" w:hAnsiTheme="majorHAnsi" w:cstheme="majorHAnsi"/>
          <w:i/>
          <w:iCs/>
        </w:rPr>
        <w:t>Politics</w:t>
      </w:r>
      <w:proofErr w:type="spellEnd"/>
      <w:r w:rsidRPr="00985B97">
        <w:rPr>
          <w:rFonts w:asciiTheme="majorHAnsi" w:hAnsiTheme="majorHAnsi" w:cstheme="majorHAnsi"/>
          <w:i/>
          <w:iCs/>
        </w:rPr>
        <w:t>, 9</w:t>
      </w:r>
      <w:r w:rsidRPr="00985B97">
        <w:rPr>
          <w:rFonts w:asciiTheme="majorHAnsi" w:hAnsiTheme="majorHAnsi" w:cstheme="majorHAnsi"/>
        </w:rPr>
        <w:t>(4), 14–40.</w:t>
      </w:r>
    </w:p>
    <w:p w14:paraId="12241FEC" w14:textId="77777777" w:rsidR="00993DFA" w:rsidRPr="00985B97" w:rsidRDefault="00993DFA" w:rsidP="00AE2626">
      <w:pPr>
        <w:jc w:val="both"/>
        <w:rPr>
          <w:rFonts w:asciiTheme="majorHAnsi" w:hAnsiTheme="majorHAnsi" w:cstheme="majorHAnsi"/>
          <w:lang w:val="en-US"/>
        </w:rPr>
      </w:pPr>
      <w:r w:rsidRPr="00985B97">
        <w:rPr>
          <w:rFonts w:asciiTheme="majorHAnsi" w:hAnsiTheme="majorHAnsi" w:cstheme="majorHAnsi"/>
        </w:rPr>
        <w:t xml:space="preserve">Brenner, R., &amp; </w:t>
      </w:r>
      <w:proofErr w:type="spellStart"/>
      <w:r w:rsidRPr="00985B97">
        <w:rPr>
          <w:rFonts w:asciiTheme="majorHAnsi" w:hAnsiTheme="majorHAnsi" w:cstheme="majorHAnsi"/>
        </w:rPr>
        <w:t>Glick</w:t>
      </w:r>
      <w:proofErr w:type="spellEnd"/>
      <w:r w:rsidRPr="00985B97">
        <w:rPr>
          <w:rFonts w:asciiTheme="majorHAnsi" w:hAnsiTheme="majorHAnsi" w:cstheme="majorHAnsi"/>
        </w:rPr>
        <w:t xml:space="preserve">, M. (1991). </w:t>
      </w:r>
      <w:r w:rsidRPr="00985B97">
        <w:rPr>
          <w:rFonts w:asciiTheme="majorHAnsi" w:hAnsiTheme="majorHAnsi" w:cstheme="majorHAnsi"/>
          <w:i/>
          <w:iCs/>
        </w:rPr>
        <w:t>La escuela de la regulación: Teoría e historia</w:t>
      </w:r>
      <w:r w:rsidRPr="00985B97">
        <w:rPr>
          <w:rFonts w:asciiTheme="majorHAnsi" w:hAnsiTheme="majorHAnsi" w:cstheme="majorHAnsi"/>
        </w:rPr>
        <w:t xml:space="preserve">. </w:t>
      </w:r>
      <w:r w:rsidRPr="00985B97">
        <w:rPr>
          <w:rFonts w:asciiTheme="majorHAnsi" w:hAnsiTheme="majorHAnsi" w:cstheme="majorHAnsi"/>
          <w:i/>
          <w:iCs/>
          <w:lang w:val="en-US"/>
        </w:rPr>
        <w:t>New Left Review</w:t>
      </w:r>
      <w:r w:rsidRPr="00985B97">
        <w:rPr>
          <w:rFonts w:asciiTheme="majorHAnsi" w:hAnsiTheme="majorHAnsi" w:cstheme="majorHAnsi"/>
          <w:lang w:val="en-US"/>
        </w:rPr>
        <w:t xml:space="preserve">, (21), 5–90. </w:t>
      </w:r>
      <w:hyperlink r:id="rId64" w:tgtFrame="_new" w:history="1">
        <w:r w:rsidRPr="00985B97">
          <w:rPr>
            <w:rStyle w:val="Hipervnculo"/>
            <w:rFonts w:asciiTheme="majorHAnsi" w:hAnsiTheme="majorHAnsi" w:cstheme="majorHAnsi"/>
            <w:lang w:val="en-US"/>
          </w:rPr>
          <w:t>https://newleftreview.es/issues/21/articles/robert-brenner-mark-glick-la-escuela-de-la-regulacion-teoria-e-historia.pdf</w:t>
        </w:r>
      </w:hyperlink>
    </w:p>
    <w:p w14:paraId="0EE94F45" w14:textId="77777777" w:rsidR="00993DFA" w:rsidRPr="00985B97" w:rsidRDefault="00993DFA" w:rsidP="00AE2626">
      <w:pPr>
        <w:jc w:val="both"/>
        <w:rPr>
          <w:rFonts w:asciiTheme="majorHAnsi" w:hAnsiTheme="majorHAnsi" w:cstheme="majorHAnsi"/>
        </w:rPr>
      </w:pPr>
      <w:proofErr w:type="spellStart"/>
      <w:r w:rsidRPr="00985B97">
        <w:rPr>
          <w:rFonts w:asciiTheme="majorHAnsi" w:hAnsiTheme="majorHAnsi" w:cstheme="majorHAnsi"/>
        </w:rPr>
        <w:t>Diamanti</w:t>
      </w:r>
      <w:proofErr w:type="spellEnd"/>
      <w:r w:rsidRPr="00985B97">
        <w:rPr>
          <w:rFonts w:asciiTheme="majorHAnsi" w:hAnsiTheme="majorHAnsi" w:cstheme="majorHAnsi"/>
        </w:rPr>
        <w:t xml:space="preserve">, J y Foster, B. (2018). </w:t>
      </w:r>
      <w:r w:rsidRPr="00985B97">
        <w:rPr>
          <w:rFonts w:asciiTheme="majorHAnsi" w:hAnsiTheme="majorHAnsi" w:cstheme="majorHAnsi"/>
          <w:i/>
          <w:iCs/>
          <w:lang w:val="en-US"/>
        </w:rPr>
        <w:t>Phantasmagorias of Energy: Toward a Critical Theory of Energy and Economy</w:t>
      </w:r>
      <w:r w:rsidRPr="00985B97">
        <w:rPr>
          <w:rFonts w:asciiTheme="majorHAnsi" w:hAnsiTheme="majorHAnsi" w:cstheme="majorHAnsi"/>
          <w:lang w:val="en-US"/>
        </w:rPr>
        <w:t xml:space="preserve">. </w:t>
      </w:r>
      <w:proofErr w:type="spellStart"/>
      <w:r w:rsidRPr="00985B97">
        <w:rPr>
          <w:rFonts w:asciiTheme="majorHAnsi" w:hAnsiTheme="majorHAnsi" w:cstheme="majorHAnsi"/>
          <w:i/>
          <w:iCs/>
        </w:rPr>
        <w:t>Mediations</w:t>
      </w:r>
      <w:proofErr w:type="spellEnd"/>
      <w:r w:rsidRPr="00985B97">
        <w:rPr>
          <w:rFonts w:asciiTheme="majorHAnsi" w:hAnsiTheme="majorHAnsi" w:cstheme="majorHAnsi"/>
          <w:i/>
          <w:iCs/>
        </w:rPr>
        <w:t xml:space="preserve"> 31</w:t>
      </w:r>
      <w:r w:rsidRPr="00985B97">
        <w:rPr>
          <w:rFonts w:asciiTheme="majorHAnsi" w:hAnsiTheme="majorHAnsi" w:cstheme="majorHAnsi"/>
        </w:rPr>
        <w:t xml:space="preserve">(2), 1–16. Recuperado de: </w:t>
      </w:r>
      <w:hyperlink r:id="rId65" w:tgtFrame="_new" w:history="1">
        <w:r w:rsidRPr="00985B97">
          <w:rPr>
            <w:rStyle w:val="Hipervnculo"/>
            <w:rFonts w:asciiTheme="majorHAnsi" w:hAnsiTheme="majorHAnsi" w:cstheme="majorHAnsi"/>
          </w:rPr>
          <w:t>https://mediationsjournal.org/files/Mediations31_2.pdf</w:t>
        </w:r>
      </w:hyperlink>
    </w:p>
    <w:p w14:paraId="2792B5D4" w14:textId="77777777" w:rsidR="00993DFA" w:rsidRPr="00985B97" w:rsidRDefault="00993DFA" w:rsidP="00AE2626">
      <w:pPr>
        <w:jc w:val="both"/>
        <w:rPr>
          <w:rFonts w:asciiTheme="majorHAnsi" w:hAnsiTheme="majorHAnsi" w:cstheme="majorHAnsi"/>
        </w:rPr>
      </w:pPr>
      <w:r w:rsidRPr="00985B97">
        <w:rPr>
          <w:rFonts w:asciiTheme="majorHAnsi" w:hAnsiTheme="majorHAnsi" w:cstheme="majorHAnsi"/>
        </w:rPr>
        <w:t xml:space="preserve">Giraldo, C. (2022). </w:t>
      </w:r>
      <w:r w:rsidRPr="00985B97">
        <w:rPr>
          <w:rFonts w:asciiTheme="majorHAnsi" w:hAnsiTheme="majorHAnsi" w:cstheme="majorHAnsi"/>
          <w:i/>
          <w:iCs/>
        </w:rPr>
        <w:t>Lo popular: Dimensiones económicas, sociales y políticas</w:t>
      </w:r>
      <w:r w:rsidRPr="00985B97">
        <w:rPr>
          <w:rFonts w:asciiTheme="majorHAnsi" w:hAnsiTheme="majorHAnsi" w:cstheme="majorHAnsi"/>
        </w:rPr>
        <w:t xml:space="preserve"> (1.ª ed.). CLACSO.</w:t>
      </w:r>
    </w:p>
    <w:p w14:paraId="42563C7D" w14:textId="77777777" w:rsidR="00993DFA" w:rsidRPr="00985B97" w:rsidRDefault="00993DFA" w:rsidP="00AE2626">
      <w:pPr>
        <w:jc w:val="both"/>
        <w:rPr>
          <w:rFonts w:asciiTheme="majorHAnsi" w:hAnsiTheme="majorHAnsi" w:cstheme="majorHAnsi"/>
        </w:rPr>
      </w:pPr>
      <w:proofErr w:type="spellStart"/>
      <w:r w:rsidRPr="00985B97">
        <w:rPr>
          <w:rFonts w:asciiTheme="majorHAnsi" w:hAnsiTheme="majorHAnsi" w:cstheme="majorHAnsi"/>
        </w:rPr>
        <w:t>Jessop</w:t>
      </w:r>
      <w:proofErr w:type="spellEnd"/>
      <w:r w:rsidRPr="00985B97">
        <w:rPr>
          <w:rFonts w:asciiTheme="majorHAnsi" w:hAnsiTheme="majorHAnsi" w:cstheme="majorHAnsi"/>
        </w:rPr>
        <w:t xml:space="preserve">, B. (2021). </w:t>
      </w:r>
      <w:r w:rsidRPr="00985B97">
        <w:rPr>
          <w:rFonts w:asciiTheme="majorHAnsi" w:hAnsiTheme="majorHAnsi" w:cstheme="majorHAnsi"/>
          <w:i/>
          <w:iCs/>
        </w:rPr>
        <w:t>El Estado. Pasado, presente y futuro</w:t>
      </w:r>
      <w:r w:rsidRPr="00985B97">
        <w:rPr>
          <w:rFonts w:asciiTheme="majorHAnsi" w:hAnsiTheme="majorHAnsi" w:cstheme="majorHAnsi"/>
        </w:rPr>
        <w:t>. Madrid: Los libros de la catarata.</w:t>
      </w:r>
    </w:p>
    <w:p w14:paraId="015B6347" w14:textId="77777777" w:rsidR="00993DFA" w:rsidRPr="00985B97" w:rsidRDefault="00993DFA" w:rsidP="00AE2626">
      <w:pPr>
        <w:jc w:val="both"/>
        <w:rPr>
          <w:rFonts w:asciiTheme="majorHAnsi" w:hAnsiTheme="majorHAnsi" w:cstheme="majorHAnsi"/>
        </w:rPr>
      </w:pPr>
      <w:proofErr w:type="spellStart"/>
      <w:r w:rsidRPr="00985B97">
        <w:rPr>
          <w:rFonts w:asciiTheme="majorHAnsi" w:hAnsiTheme="majorHAnsi" w:cstheme="majorHAnsi"/>
        </w:rPr>
        <w:t>Lopreite</w:t>
      </w:r>
      <w:proofErr w:type="spellEnd"/>
      <w:r w:rsidRPr="00985B97">
        <w:rPr>
          <w:rFonts w:asciiTheme="majorHAnsi" w:hAnsiTheme="majorHAnsi" w:cstheme="majorHAnsi"/>
        </w:rPr>
        <w:t xml:space="preserve">, D., &amp; Rodríguez </w:t>
      </w:r>
      <w:proofErr w:type="spellStart"/>
      <w:r w:rsidRPr="00985B97">
        <w:rPr>
          <w:rFonts w:asciiTheme="majorHAnsi" w:hAnsiTheme="majorHAnsi" w:cstheme="majorHAnsi"/>
        </w:rPr>
        <w:t>Gustá</w:t>
      </w:r>
      <w:proofErr w:type="spellEnd"/>
      <w:r w:rsidRPr="00985B97">
        <w:rPr>
          <w:rFonts w:asciiTheme="majorHAnsi" w:hAnsiTheme="majorHAnsi" w:cstheme="majorHAnsi"/>
        </w:rPr>
        <w:t xml:space="preserve">, A. L. (2021). </w:t>
      </w:r>
      <w:r w:rsidRPr="00985B97">
        <w:rPr>
          <w:rFonts w:asciiTheme="majorHAnsi" w:hAnsiTheme="majorHAnsi" w:cstheme="majorHAnsi"/>
          <w:i/>
          <w:iCs/>
        </w:rPr>
        <w:t>Introducción: Estado, instituciones y políticas públicas con enfoque feminista en el análisis de viejas y nuevas desigualdades de género en América Latina</w:t>
      </w:r>
      <w:r w:rsidRPr="00985B97">
        <w:rPr>
          <w:rFonts w:asciiTheme="majorHAnsi" w:hAnsiTheme="majorHAnsi" w:cstheme="majorHAnsi"/>
        </w:rPr>
        <w:t xml:space="preserve">. </w:t>
      </w:r>
      <w:r w:rsidRPr="00985B97">
        <w:rPr>
          <w:rFonts w:asciiTheme="majorHAnsi" w:hAnsiTheme="majorHAnsi" w:cstheme="majorHAnsi"/>
          <w:i/>
          <w:iCs/>
        </w:rPr>
        <w:t>Revista SAAP, 15</w:t>
      </w:r>
      <w:r w:rsidRPr="00985B97">
        <w:rPr>
          <w:rFonts w:asciiTheme="majorHAnsi" w:hAnsiTheme="majorHAnsi" w:cstheme="majorHAnsi"/>
        </w:rPr>
        <w:t xml:space="preserve">(2), 245–255. </w:t>
      </w:r>
      <w:hyperlink r:id="rId66" w:tgtFrame="_new" w:history="1">
        <w:r w:rsidRPr="00985B97">
          <w:rPr>
            <w:rStyle w:val="Hipervnculo"/>
            <w:rFonts w:asciiTheme="majorHAnsi" w:hAnsiTheme="majorHAnsi" w:cstheme="majorHAnsi"/>
          </w:rPr>
          <w:t>https://doi.org/10.46468/rsaap.15.2.I</w:t>
        </w:r>
      </w:hyperlink>
    </w:p>
    <w:p w14:paraId="29FC426F" w14:textId="77777777" w:rsidR="00993DFA" w:rsidRPr="00985B97" w:rsidRDefault="00993DFA" w:rsidP="00AE2626">
      <w:pPr>
        <w:jc w:val="both"/>
        <w:rPr>
          <w:rFonts w:asciiTheme="majorHAnsi" w:hAnsiTheme="majorHAnsi" w:cstheme="majorHAnsi"/>
        </w:rPr>
      </w:pPr>
      <w:r w:rsidRPr="00985B97">
        <w:rPr>
          <w:rFonts w:asciiTheme="majorHAnsi" w:hAnsiTheme="majorHAnsi" w:cstheme="majorHAnsi"/>
        </w:rPr>
        <w:t xml:space="preserve">Marañón, C. (2025). </w:t>
      </w:r>
      <w:r w:rsidRPr="00985B97">
        <w:rPr>
          <w:rFonts w:asciiTheme="majorHAnsi" w:hAnsiTheme="majorHAnsi" w:cstheme="majorHAnsi"/>
          <w:i/>
          <w:iCs/>
        </w:rPr>
        <w:t xml:space="preserve">Metabolismo social y transición </w:t>
      </w:r>
      <w:proofErr w:type="spellStart"/>
      <w:r w:rsidRPr="00985B97">
        <w:rPr>
          <w:rFonts w:asciiTheme="majorHAnsi" w:hAnsiTheme="majorHAnsi" w:cstheme="majorHAnsi"/>
          <w:i/>
          <w:iCs/>
        </w:rPr>
        <w:t>sociometabólica</w:t>
      </w:r>
      <w:proofErr w:type="spellEnd"/>
      <w:r w:rsidRPr="00985B97">
        <w:rPr>
          <w:rFonts w:asciiTheme="majorHAnsi" w:hAnsiTheme="majorHAnsi" w:cstheme="majorHAnsi"/>
          <w:i/>
          <w:iCs/>
        </w:rPr>
        <w:t>. Principales planteamientos</w:t>
      </w:r>
      <w:r w:rsidRPr="00985B97">
        <w:rPr>
          <w:rFonts w:asciiTheme="majorHAnsi" w:hAnsiTheme="majorHAnsi" w:cstheme="majorHAnsi"/>
        </w:rPr>
        <w:t xml:space="preserve">. Recuperado de: </w:t>
      </w:r>
      <w:hyperlink r:id="rId67" w:tgtFrame="_new" w:history="1">
        <w:r w:rsidRPr="00985B97">
          <w:rPr>
            <w:rStyle w:val="Hipervnculo"/>
            <w:rFonts w:asciiTheme="majorHAnsi" w:hAnsiTheme="majorHAnsi" w:cstheme="majorHAnsi"/>
          </w:rPr>
          <w:t>https://repositorio.iberopuebla.mx/handle/20.500.11777/6331</w:t>
        </w:r>
      </w:hyperlink>
    </w:p>
    <w:p w14:paraId="4D8D532C" w14:textId="77777777" w:rsidR="00993DFA" w:rsidRPr="00985B97" w:rsidRDefault="00993DFA" w:rsidP="00AE2626">
      <w:pPr>
        <w:jc w:val="both"/>
        <w:rPr>
          <w:rFonts w:asciiTheme="majorHAnsi" w:hAnsiTheme="majorHAnsi" w:cstheme="majorHAnsi"/>
        </w:rPr>
      </w:pPr>
      <w:proofErr w:type="spellStart"/>
      <w:r w:rsidRPr="00985B97">
        <w:rPr>
          <w:rFonts w:asciiTheme="majorHAnsi" w:hAnsiTheme="majorHAnsi" w:cstheme="majorHAnsi"/>
        </w:rPr>
        <w:t>Malm</w:t>
      </w:r>
      <w:proofErr w:type="spellEnd"/>
      <w:r w:rsidRPr="00985B97">
        <w:rPr>
          <w:rFonts w:asciiTheme="majorHAnsi" w:hAnsiTheme="majorHAnsi" w:cstheme="majorHAnsi"/>
        </w:rPr>
        <w:t xml:space="preserve">, A. (2019). </w:t>
      </w:r>
      <w:r w:rsidRPr="00985B97">
        <w:rPr>
          <w:rFonts w:asciiTheme="majorHAnsi" w:hAnsiTheme="majorHAnsi" w:cstheme="majorHAnsi"/>
          <w:i/>
          <w:iCs/>
        </w:rPr>
        <w:t>Capital fósil: El auge del vapor y las raíces del calentamiento global</w:t>
      </w:r>
      <w:r w:rsidRPr="00985B97">
        <w:rPr>
          <w:rFonts w:asciiTheme="majorHAnsi" w:hAnsiTheme="majorHAnsi" w:cstheme="majorHAnsi"/>
        </w:rPr>
        <w:t>. Madrid: Capitán Swing.</w:t>
      </w:r>
    </w:p>
    <w:p w14:paraId="41BCA2D4" w14:textId="77777777" w:rsidR="00993DFA" w:rsidRPr="00985B97" w:rsidRDefault="00993DFA" w:rsidP="00AE2626">
      <w:pPr>
        <w:jc w:val="both"/>
        <w:rPr>
          <w:rFonts w:asciiTheme="majorHAnsi" w:hAnsiTheme="majorHAnsi" w:cstheme="majorHAnsi"/>
        </w:rPr>
      </w:pPr>
      <w:r w:rsidRPr="00985B97">
        <w:rPr>
          <w:rFonts w:asciiTheme="majorHAnsi" w:hAnsiTheme="majorHAnsi" w:cstheme="majorHAnsi"/>
        </w:rPr>
        <w:t xml:space="preserve">Marquardt, B. (2018). </w:t>
      </w:r>
      <w:r w:rsidRPr="00985B97">
        <w:rPr>
          <w:rFonts w:asciiTheme="majorHAnsi" w:hAnsiTheme="majorHAnsi" w:cstheme="majorHAnsi"/>
          <w:i/>
          <w:iCs/>
        </w:rPr>
        <w:t>Teoría integral del Estado. Pasado, presente y futuro en perspectiva mundial. Tomo I</w:t>
      </w:r>
      <w:r w:rsidRPr="00985B97">
        <w:rPr>
          <w:rFonts w:asciiTheme="majorHAnsi" w:hAnsiTheme="majorHAnsi" w:cstheme="majorHAnsi"/>
        </w:rPr>
        <w:t>. Bogotá: Editorial Ibáñez.</w:t>
      </w:r>
    </w:p>
    <w:p w14:paraId="7CBF6718" w14:textId="77777777" w:rsidR="00993DFA" w:rsidRPr="00985B97" w:rsidRDefault="00993DFA" w:rsidP="00AE2626">
      <w:pPr>
        <w:jc w:val="both"/>
        <w:rPr>
          <w:rFonts w:asciiTheme="majorHAnsi" w:hAnsiTheme="majorHAnsi" w:cstheme="majorHAnsi"/>
        </w:rPr>
      </w:pPr>
      <w:r w:rsidRPr="00985B97">
        <w:rPr>
          <w:rFonts w:asciiTheme="majorHAnsi" w:hAnsiTheme="majorHAnsi" w:cstheme="majorHAnsi"/>
        </w:rPr>
        <w:lastRenderedPageBreak/>
        <w:t xml:space="preserve">Marx, K. (1995). </w:t>
      </w:r>
      <w:r w:rsidRPr="00985B97">
        <w:rPr>
          <w:rFonts w:asciiTheme="majorHAnsi" w:hAnsiTheme="majorHAnsi" w:cstheme="majorHAnsi"/>
          <w:i/>
          <w:iCs/>
        </w:rPr>
        <w:t>El Capital. Crítica de la economía política. Tomo I, Volumen 1. El proceso de producción del capital</w:t>
      </w:r>
      <w:r w:rsidRPr="00985B97">
        <w:rPr>
          <w:rFonts w:asciiTheme="majorHAnsi" w:hAnsiTheme="majorHAnsi" w:cstheme="majorHAnsi"/>
        </w:rPr>
        <w:t>. México: Siglo XXI.</w:t>
      </w:r>
    </w:p>
    <w:p w14:paraId="55E2F9E1" w14:textId="77777777" w:rsidR="00993DFA" w:rsidRPr="00985B97" w:rsidRDefault="00993DFA" w:rsidP="00AE2626">
      <w:pPr>
        <w:jc w:val="both"/>
        <w:rPr>
          <w:rFonts w:asciiTheme="majorHAnsi" w:hAnsiTheme="majorHAnsi" w:cstheme="majorHAnsi"/>
        </w:rPr>
      </w:pPr>
      <w:proofErr w:type="spellStart"/>
      <w:r w:rsidRPr="00985B97">
        <w:rPr>
          <w:rFonts w:asciiTheme="majorHAnsi" w:hAnsiTheme="majorHAnsi" w:cstheme="majorHAnsi"/>
        </w:rPr>
        <w:t>Mendonça</w:t>
      </w:r>
      <w:proofErr w:type="spellEnd"/>
      <w:r w:rsidRPr="00985B97">
        <w:rPr>
          <w:rFonts w:asciiTheme="majorHAnsi" w:hAnsiTheme="majorHAnsi" w:cstheme="majorHAnsi"/>
        </w:rPr>
        <w:t>, P. M. E., Alves, M. A., &amp; Nogueira, F. A. (</w:t>
      </w:r>
      <w:proofErr w:type="spellStart"/>
      <w:r w:rsidRPr="00985B97">
        <w:rPr>
          <w:rFonts w:asciiTheme="majorHAnsi" w:hAnsiTheme="majorHAnsi" w:cstheme="majorHAnsi"/>
        </w:rPr>
        <w:t>Orgs</w:t>
      </w:r>
      <w:proofErr w:type="spellEnd"/>
      <w:r w:rsidRPr="00985B97">
        <w:rPr>
          <w:rFonts w:asciiTheme="majorHAnsi" w:hAnsiTheme="majorHAnsi" w:cstheme="majorHAnsi"/>
        </w:rPr>
        <w:t xml:space="preserve">.). (2013). </w:t>
      </w:r>
      <w:proofErr w:type="spellStart"/>
      <w:r w:rsidRPr="00985B97">
        <w:rPr>
          <w:rFonts w:asciiTheme="majorHAnsi" w:hAnsiTheme="majorHAnsi" w:cstheme="majorHAnsi"/>
          <w:i/>
          <w:iCs/>
        </w:rPr>
        <w:t>Arquitetura</w:t>
      </w:r>
      <w:proofErr w:type="spellEnd"/>
      <w:r w:rsidRPr="00985B97">
        <w:rPr>
          <w:rFonts w:asciiTheme="majorHAnsi" w:hAnsiTheme="majorHAnsi" w:cstheme="majorHAnsi"/>
          <w:i/>
          <w:iCs/>
        </w:rPr>
        <w:t xml:space="preserve"> institucional de </w:t>
      </w:r>
      <w:proofErr w:type="spellStart"/>
      <w:r w:rsidRPr="00985B97">
        <w:rPr>
          <w:rFonts w:asciiTheme="majorHAnsi" w:hAnsiTheme="majorHAnsi" w:cstheme="majorHAnsi"/>
          <w:i/>
          <w:iCs/>
        </w:rPr>
        <w:t>apoio</w:t>
      </w:r>
      <w:proofErr w:type="spellEnd"/>
      <w:r w:rsidRPr="00985B97">
        <w:rPr>
          <w:rFonts w:asciiTheme="majorHAnsi" w:hAnsiTheme="majorHAnsi" w:cstheme="majorHAnsi"/>
          <w:i/>
          <w:iCs/>
        </w:rPr>
        <w:t xml:space="preserve"> </w:t>
      </w:r>
      <w:proofErr w:type="spellStart"/>
      <w:r w:rsidRPr="00985B97">
        <w:rPr>
          <w:rFonts w:asciiTheme="majorHAnsi" w:hAnsiTheme="majorHAnsi" w:cstheme="majorHAnsi"/>
          <w:i/>
          <w:iCs/>
        </w:rPr>
        <w:t>às</w:t>
      </w:r>
      <w:proofErr w:type="spellEnd"/>
      <w:r w:rsidRPr="00985B97">
        <w:rPr>
          <w:rFonts w:asciiTheme="majorHAnsi" w:hAnsiTheme="majorHAnsi" w:cstheme="majorHAnsi"/>
          <w:i/>
          <w:iCs/>
        </w:rPr>
        <w:t xml:space="preserve"> </w:t>
      </w:r>
      <w:proofErr w:type="spellStart"/>
      <w:r w:rsidRPr="00985B97">
        <w:rPr>
          <w:rFonts w:asciiTheme="majorHAnsi" w:hAnsiTheme="majorHAnsi" w:cstheme="majorHAnsi"/>
          <w:i/>
          <w:iCs/>
        </w:rPr>
        <w:t>organizações</w:t>
      </w:r>
      <w:proofErr w:type="spellEnd"/>
      <w:r w:rsidRPr="00985B97">
        <w:rPr>
          <w:rFonts w:asciiTheme="majorHAnsi" w:hAnsiTheme="majorHAnsi" w:cstheme="majorHAnsi"/>
          <w:i/>
          <w:iCs/>
        </w:rPr>
        <w:t xml:space="preserve"> da </w:t>
      </w:r>
      <w:proofErr w:type="spellStart"/>
      <w:r w:rsidRPr="00985B97">
        <w:rPr>
          <w:rFonts w:asciiTheme="majorHAnsi" w:hAnsiTheme="majorHAnsi" w:cstheme="majorHAnsi"/>
          <w:i/>
          <w:iCs/>
        </w:rPr>
        <w:t>sociedade</w:t>
      </w:r>
      <w:proofErr w:type="spellEnd"/>
      <w:r w:rsidRPr="00985B97">
        <w:rPr>
          <w:rFonts w:asciiTheme="majorHAnsi" w:hAnsiTheme="majorHAnsi" w:cstheme="majorHAnsi"/>
          <w:i/>
          <w:iCs/>
        </w:rPr>
        <w:t xml:space="preserve"> civil no Brasil</w:t>
      </w:r>
      <w:r w:rsidRPr="00985B97">
        <w:rPr>
          <w:rFonts w:asciiTheme="majorHAnsi" w:hAnsiTheme="majorHAnsi" w:cstheme="majorHAnsi"/>
        </w:rPr>
        <w:t>. São Paulo: FGV.</w:t>
      </w:r>
    </w:p>
    <w:p w14:paraId="7F9917CF" w14:textId="77777777" w:rsidR="00993DFA" w:rsidRPr="00985B97" w:rsidRDefault="00993DFA" w:rsidP="00AE2626">
      <w:pPr>
        <w:jc w:val="both"/>
        <w:rPr>
          <w:rFonts w:asciiTheme="majorHAnsi" w:hAnsiTheme="majorHAnsi" w:cstheme="majorHAnsi"/>
        </w:rPr>
      </w:pPr>
      <w:r w:rsidRPr="00985B97">
        <w:rPr>
          <w:rFonts w:asciiTheme="majorHAnsi" w:hAnsiTheme="majorHAnsi" w:cstheme="majorHAnsi"/>
        </w:rPr>
        <w:t xml:space="preserve">Misas, G. (2019). </w:t>
      </w:r>
      <w:r w:rsidRPr="00985B97">
        <w:rPr>
          <w:rFonts w:asciiTheme="majorHAnsi" w:hAnsiTheme="majorHAnsi" w:cstheme="majorHAnsi"/>
          <w:i/>
          <w:iCs/>
        </w:rPr>
        <w:t>Regímenes de acumulación y modos de regulación Colombia 1910-2010</w:t>
      </w:r>
      <w:r w:rsidRPr="00985B97">
        <w:rPr>
          <w:rFonts w:asciiTheme="majorHAnsi" w:hAnsiTheme="majorHAnsi" w:cstheme="majorHAnsi"/>
        </w:rPr>
        <w:t>. Bogotá, Colombia: Universidad Nacional de Colombia.</w:t>
      </w:r>
    </w:p>
    <w:p w14:paraId="2F334FB2" w14:textId="77777777" w:rsidR="00993DFA" w:rsidRPr="00985B97" w:rsidRDefault="00993DFA" w:rsidP="00AE2626">
      <w:pPr>
        <w:jc w:val="both"/>
        <w:rPr>
          <w:rFonts w:asciiTheme="majorHAnsi" w:hAnsiTheme="majorHAnsi" w:cstheme="majorHAnsi"/>
        </w:rPr>
      </w:pPr>
      <w:r w:rsidRPr="00985B97">
        <w:rPr>
          <w:rFonts w:asciiTheme="majorHAnsi" w:hAnsiTheme="majorHAnsi" w:cstheme="majorHAnsi"/>
        </w:rPr>
        <w:t xml:space="preserve">Muñiz Moreno, S. G. (2024). </w:t>
      </w:r>
      <w:r w:rsidRPr="00985B97">
        <w:rPr>
          <w:rFonts w:asciiTheme="majorHAnsi" w:hAnsiTheme="majorHAnsi" w:cstheme="majorHAnsi"/>
          <w:i/>
          <w:iCs/>
        </w:rPr>
        <w:t>Boceto de una teoría feminista del estado según Connell</w:t>
      </w:r>
      <w:r w:rsidRPr="00985B97">
        <w:rPr>
          <w:rFonts w:asciiTheme="majorHAnsi" w:hAnsiTheme="majorHAnsi" w:cstheme="majorHAnsi"/>
        </w:rPr>
        <w:t xml:space="preserve">. </w:t>
      </w:r>
      <w:r w:rsidRPr="00985B97">
        <w:rPr>
          <w:rFonts w:asciiTheme="majorHAnsi" w:hAnsiTheme="majorHAnsi" w:cstheme="majorHAnsi"/>
          <w:i/>
          <w:iCs/>
        </w:rPr>
        <w:t>La ventana. Revista de estudios de género, 7</w:t>
      </w:r>
      <w:r w:rsidRPr="00985B97">
        <w:rPr>
          <w:rFonts w:asciiTheme="majorHAnsi" w:hAnsiTheme="majorHAnsi" w:cstheme="majorHAnsi"/>
        </w:rPr>
        <w:t xml:space="preserve">(60), 378–386. </w:t>
      </w:r>
      <w:hyperlink r:id="rId68" w:tgtFrame="_new" w:history="1">
        <w:r w:rsidRPr="00985B97">
          <w:rPr>
            <w:rStyle w:val="Hipervnculo"/>
            <w:rFonts w:asciiTheme="majorHAnsi" w:hAnsiTheme="majorHAnsi" w:cstheme="majorHAnsi"/>
          </w:rPr>
          <w:t>https://doi.org/10.32870/lv.v7i60.7976</w:t>
        </w:r>
      </w:hyperlink>
    </w:p>
    <w:p w14:paraId="5E851DEE" w14:textId="77777777" w:rsidR="00993DFA" w:rsidRPr="00985B97" w:rsidRDefault="00993DFA" w:rsidP="00AE2626">
      <w:pPr>
        <w:jc w:val="both"/>
        <w:rPr>
          <w:rFonts w:asciiTheme="majorHAnsi" w:hAnsiTheme="majorHAnsi" w:cstheme="majorHAnsi"/>
        </w:rPr>
      </w:pPr>
      <w:r w:rsidRPr="00985B97">
        <w:rPr>
          <w:rFonts w:asciiTheme="majorHAnsi" w:hAnsiTheme="majorHAnsi" w:cstheme="majorHAnsi"/>
        </w:rPr>
        <w:t xml:space="preserve">North, D. C. (1993). </w:t>
      </w:r>
      <w:r w:rsidRPr="00985B97">
        <w:rPr>
          <w:rFonts w:asciiTheme="majorHAnsi" w:hAnsiTheme="majorHAnsi" w:cstheme="majorHAnsi"/>
          <w:i/>
          <w:iCs/>
        </w:rPr>
        <w:t>Instituciones, cambio institucional y desempeño económico</w:t>
      </w:r>
      <w:r w:rsidRPr="00985B97">
        <w:rPr>
          <w:rFonts w:asciiTheme="majorHAnsi" w:hAnsiTheme="majorHAnsi" w:cstheme="majorHAnsi"/>
        </w:rPr>
        <w:t>. México D. F., México: Fondo de Cultura Económica.</w:t>
      </w:r>
    </w:p>
    <w:p w14:paraId="33DA0B21" w14:textId="77777777" w:rsidR="00993DFA" w:rsidRPr="00985B97" w:rsidRDefault="00993DFA" w:rsidP="00AE2626">
      <w:pPr>
        <w:jc w:val="both"/>
        <w:rPr>
          <w:rFonts w:asciiTheme="majorHAnsi" w:hAnsiTheme="majorHAnsi" w:cstheme="majorHAnsi"/>
        </w:rPr>
      </w:pPr>
      <w:r w:rsidRPr="00985B97">
        <w:rPr>
          <w:rFonts w:asciiTheme="majorHAnsi" w:hAnsiTheme="majorHAnsi" w:cstheme="majorHAnsi"/>
        </w:rPr>
        <w:t xml:space="preserve">OIT (2023). </w:t>
      </w:r>
      <w:r w:rsidRPr="00985B97">
        <w:rPr>
          <w:rFonts w:asciiTheme="majorHAnsi" w:hAnsiTheme="majorHAnsi" w:cstheme="majorHAnsi"/>
          <w:i/>
          <w:iCs/>
        </w:rPr>
        <w:t>Resolución de modificación de la resolución sobre las estadísticas del trabajo, la ocupación y la subutilización de la fuerza de trabajo</w:t>
      </w:r>
      <w:r w:rsidRPr="00985B97">
        <w:rPr>
          <w:rFonts w:asciiTheme="majorHAnsi" w:hAnsiTheme="majorHAnsi" w:cstheme="majorHAnsi"/>
        </w:rPr>
        <w:t xml:space="preserve">. Recuperado de: </w:t>
      </w:r>
      <w:hyperlink r:id="rId69" w:tgtFrame="_new" w:history="1">
        <w:r w:rsidRPr="00985B97">
          <w:rPr>
            <w:rStyle w:val="Hipervnculo"/>
            <w:rFonts w:asciiTheme="majorHAnsi" w:hAnsiTheme="majorHAnsi" w:cstheme="majorHAnsi"/>
          </w:rPr>
          <w:t>https://www.ilo.org/es/resource/resolucion-de-modificacion-de-la-resolucion-sobre-las-estadisticas-del-1</w:t>
        </w:r>
      </w:hyperlink>
    </w:p>
    <w:p w14:paraId="4EE9B865" w14:textId="77777777" w:rsidR="00993DFA" w:rsidRPr="00985B97" w:rsidRDefault="00993DFA" w:rsidP="00AE2626">
      <w:pPr>
        <w:jc w:val="both"/>
        <w:rPr>
          <w:rFonts w:asciiTheme="majorHAnsi" w:hAnsiTheme="majorHAnsi" w:cstheme="majorHAnsi"/>
          <w:lang w:val="en-US"/>
        </w:rPr>
      </w:pPr>
      <w:r w:rsidRPr="00985B97">
        <w:rPr>
          <w:rFonts w:asciiTheme="majorHAnsi" w:hAnsiTheme="majorHAnsi" w:cstheme="majorHAnsi"/>
        </w:rPr>
        <w:t xml:space="preserve">Olson, M. (1992). </w:t>
      </w:r>
      <w:r w:rsidRPr="00985B97">
        <w:rPr>
          <w:rFonts w:asciiTheme="majorHAnsi" w:hAnsiTheme="majorHAnsi" w:cstheme="majorHAnsi"/>
          <w:i/>
          <w:iCs/>
        </w:rPr>
        <w:t>Auge y decadencia de las naciones</w:t>
      </w:r>
      <w:r w:rsidRPr="00985B97">
        <w:rPr>
          <w:rFonts w:asciiTheme="majorHAnsi" w:hAnsiTheme="majorHAnsi" w:cstheme="majorHAnsi"/>
        </w:rPr>
        <w:t xml:space="preserve">. </w:t>
      </w:r>
      <w:r w:rsidRPr="00985B97">
        <w:rPr>
          <w:rFonts w:asciiTheme="majorHAnsi" w:hAnsiTheme="majorHAnsi" w:cstheme="majorHAnsi"/>
          <w:lang w:val="en-US"/>
        </w:rPr>
        <w:t xml:space="preserve">Madrid: </w:t>
      </w:r>
      <w:proofErr w:type="spellStart"/>
      <w:r w:rsidRPr="00985B97">
        <w:rPr>
          <w:rFonts w:asciiTheme="majorHAnsi" w:hAnsiTheme="majorHAnsi" w:cstheme="majorHAnsi"/>
          <w:lang w:val="en-US"/>
        </w:rPr>
        <w:t>Alianza</w:t>
      </w:r>
      <w:proofErr w:type="spellEnd"/>
      <w:r w:rsidRPr="00985B97">
        <w:rPr>
          <w:rFonts w:asciiTheme="majorHAnsi" w:hAnsiTheme="majorHAnsi" w:cstheme="majorHAnsi"/>
          <w:lang w:val="en-US"/>
        </w:rPr>
        <w:t>.</w:t>
      </w:r>
    </w:p>
    <w:p w14:paraId="7753D880" w14:textId="77777777" w:rsidR="00993DFA" w:rsidRPr="00985B97" w:rsidRDefault="00993DFA" w:rsidP="00AE2626">
      <w:pPr>
        <w:jc w:val="both"/>
        <w:rPr>
          <w:rFonts w:asciiTheme="majorHAnsi" w:hAnsiTheme="majorHAnsi" w:cstheme="majorHAnsi"/>
          <w:lang w:val="en-US"/>
        </w:rPr>
      </w:pPr>
      <w:proofErr w:type="spellStart"/>
      <w:r w:rsidRPr="00985B97">
        <w:rPr>
          <w:rFonts w:asciiTheme="majorHAnsi" w:hAnsiTheme="majorHAnsi" w:cstheme="majorHAnsi"/>
          <w:lang w:val="en-US"/>
        </w:rPr>
        <w:t>Sieferle</w:t>
      </w:r>
      <w:proofErr w:type="spellEnd"/>
      <w:r w:rsidRPr="00985B97">
        <w:rPr>
          <w:rFonts w:asciiTheme="majorHAnsi" w:hAnsiTheme="majorHAnsi" w:cstheme="majorHAnsi"/>
          <w:lang w:val="en-US"/>
        </w:rPr>
        <w:t xml:space="preserve">, R. (2001). </w:t>
      </w:r>
      <w:r w:rsidRPr="00985B97">
        <w:rPr>
          <w:rFonts w:asciiTheme="majorHAnsi" w:hAnsiTheme="majorHAnsi" w:cstheme="majorHAnsi"/>
          <w:i/>
          <w:iCs/>
          <w:lang w:val="en-US"/>
        </w:rPr>
        <w:t>The subterranean forest. Energy systems and the industrial revolution</w:t>
      </w:r>
      <w:r w:rsidRPr="00985B97">
        <w:rPr>
          <w:rFonts w:asciiTheme="majorHAnsi" w:hAnsiTheme="majorHAnsi" w:cstheme="majorHAnsi"/>
          <w:lang w:val="en-US"/>
        </w:rPr>
        <w:t xml:space="preserve">. Cambridge: The White Horse Press. </w:t>
      </w:r>
      <w:proofErr w:type="spellStart"/>
      <w:r w:rsidRPr="00985B97">
        <w:rPr>
          <w:rFonts w:asciiTheme="majorHAnsi" w:hAnsiTheme="majorHAnsi" w:cstheme="majorHAnsi"/>
          <w:lang w:val="en-US"/>
        </w:rPr>
        <w:t>Recuperado</w:t>
      </w:r>
      <w:proofErr w:type="spellEnd"/>
      <w:r w:rsidRPr="00985B97">
        <w:rPr>
          <w:rFonts w:asciiTheme="majorHAnsi" w:hAnsiTheme="majorHAnsi" w:cstheme="majorHAnsi"/>
          <w:lang w:val="en-US"/>
        </w:rPr>
        <w:t xml:space="preserve"> de: </w:t>
      </w:r>
      <w:hyperlink r:id="rId70" w:tgtFrame="_new" w:history="1">
        <w:r w:rsidRPr="00985B97">
          <w:rPr>
            <w:rStyle w:val="Hipervnculo"/>
            <w:rFonts w:asciiTheme="majorHAnsi" w:hAnsiTheme="majorHAnsi" w:cstheme="majorHAnsi"/>
            <w:lang w:val="en-US"/>
          </w:rPr>
          <w:t>https://www.environmentandsociety.org/sites/default/files/key_docs/sieferle.pdf</w:t>
        </w:r>
      </w:hyperlink>
    </w:p>
    <w:p w14:paraId="66A59039" w14:textId="77777777" w:rsidR="00993DFA" w:rsidRPr="00985B97" w:rsidRDefault="00993DFA" w:rsidP="00AE2626">
      <w:pPr>
        <w:jc w:val="both"/>
        <w:rPr>
          <w:rFonts w:asciiTheme="majorHAnsi" w:hAnsiTheme="majorHAnsi" w:cstheme="majorHAnsi"/>
          <w:lang w:val="en-US"/>
        </w:rPr>
      </w:pPr>
      <w:r w:rsidRPr="00985B97">
        <w:rPr>
          <w:rFonts w:asciiTheme="majorHAnsi" w:hAnsiTheme="majorHAnsi" w:cstheme="majorHAnsi"/>
        </w:rPr>
        <w:t xml:space="preserve">Teixeira, A. C. C., Souza, C. H. L., &amp; Lima, P. P. F. (2012). </w:t>
      </w:r>
      <w:proofErr w:type="spellStart"/>
      <w:r w:rsidRPr="00985B97">
        <w:rPr>
          <w:rFonts w:asciiTheme="majorHAnsi" w:hAnsiTheme="majorHAnsi" w:cstheme="majorHAnsi"/>
          <w:i/>
          <w:iCs/>
        </w:rPr>
        <w:t>Arquitetura</w:t>
      </w:r>
      <w:proofErr w:type="spellEnd"/>
      <w:r w:rsidRPr="00985B97">
        <w:rPr>
          <w:rFonts w:asciiTheme="majorHAnsi" w:hAnsiTheme="majorHAnsi" w:cstheme="majorHAnsi"/>
          <w:i/>
          <w:iCs/>
        </w:rPr>
        <w:t xml:space="preserve"> da </w:t>
      </w:r>
      <w:proofErr w:type="spellStart"/>
      <w:r w:rsidRPr="00985B97">
        <w:rPr>
          <w:rFonts w:asciiTheme="majorHAnsi" w:hAnsiTheme="majorHAnsi" w:cstheme="majorHAnsi"/>
          <w:i/>
          <w:iCs/>
        </w:rPr>
        <w:t>participação</w:t>
      </w:r>
      <w:proofErr w:type="spellEnd"/>
      <w:r w:rsidRPr="00985B97">
        <w:rPr>
          <w:rFonts w:asciiTheme="majorHAnsi" w:hAnsiTheme="majorHAnsi" w:cstheme="majorHAnsi"/>
          <w:i/>
          <w:iCs/>
        </w:rPr>
        <w:t xml:space="preserve"> no Brasil: </w:t>
      </w:r>
      <w:proofErr w:type="spellStart"/>
      <w:r w:rsidRPr="00985B97">
        <w:rPr>
          <w:rFonts w:asciiTheme="majorHAnsi" w:hAnsiTheme="majorHAnsi" w:cstheme="majorHAnsi"/>
          <w:i/>
          <w:iCs/>
        </w:rPr>
        <w:t>Uma</w:t>
      </w:r>
      <w:proofErr w:type="spellEnd"/>
      <w:r w:rsidRPr="00985B97">
        <w:rPr>
          <w:rFonts w:asciiTheme="majorHAnsi" w:hAnsiTheme="majorHAnsi" w:cstheme="majorHAnsi"/>
          <w:i/>
          <w:iCs/>
        </w:rPr>
        <w:t xml:space="preserve"> </w:t>
      </w:r>
      <w:proofErr w:type="spellStart"/>
      <w:r w:rsidRPr="00985B97">
        <w:rPr>
          <w:rFonts w:asciiTheme="majorHAnsi" w:hAnsiTheme="majorHAnsi" w:cstheme="majorHAnsi"/>
          <w:i/>
          <w:iCs/>
        </w:rPr>
        <w:t>leitura</w:t>
      </w:r>
      <w:proofErr w:type="spellEnd"/>
      <w:r w:rsidRPr="00985B97">
        <w:rPr>
          <w:rFonts w:asciiTheme="majorHAnsi" w:hAnsiTheme="majorHAnsi" w:cstheme="majorHAnsi"/>
          <w:i/>
          <w:iCs/>
        </w:rPr>
        <w:t xml:space="preserve"> das </w:t>
      </w:r>
      <w:proofErr w:type="spellStart"/>
      <w:r w:rsidRPr="00985B97">
        <w:rPr>
          <w:rFonts w:asciiTheme="majorHAnsi" w:hAnsiTheme="majorHAnsi" w:cstheme="majorHAnsi"/>
          <w:i/>
          <w:iCs/>
        </w:rPr>
        <w:t>representações</w:t>
      </w:r>
      <w:proofErr w:type="spellEnd"/>
      <w:r w:rsidRPr="00985B97">
        <w:rPr>
          <w:rFonts w:asciiTheme="majorHAnsi" w:hAnsiTheme="majorHAnsi" w:cstheme="majorHAnsi"/>
          <w:i/>
          <w:iCs/>
        </w:rPr>
        <w:t xml:space="preserve"> políticas em </w:t>
      </w:r>
      <w:proofErr w:type="spellStart"/>
      <w:r w:rsidRPr="00985B97">
        <w:rPr>
          <w:rFonts w:asciiTheme="majorHAnsi" w:hAnsiTheme="majorHAnsi" w:cstheme="majorHAnsi"/>
          <w:i/>
          <w:iCs/>
        </w:rPr>
        <w:t>espaços</w:t>
      </w:r>
      <w:proofErr w:type="spellEnd"/>
      <w:r w:rsidRPr="00985B97">
        <w:rPr>
          <w:rFonts w:asciiTheme="majorHAnsi" w:hAnsiTheme="majorHAnsi" w:cstheme="majorHAnsi"/>
          <w:i/>
          <w:iCs/>
        </w:rPr>
        <w:t xml:space="preserve"> participativos </w:t>
      </w:r>
      <w:proofErr w:type="spellStart"/>
      <w:r w:rsidRPr="00985B97">
        <w:rPr>
          <w:rFonts w:asciiTheme="majorHAnsi" w:hAnsiTheme="majorHAnsi" w:cstheme="majorHAnsi"/>
          <w:i/>
          <w:iCs/>
        </w:rPr>
        <w:t>nacionais</w:t>
      </w:r>
      <w:proofErr w:type="spellEnd"/>
      <w:r w:rsidRPr="00985B97">
        <w:rPr>
          <w:rFonts w:asciiTheme="majorHAnsi" w:hAnsiTheme="majorHAnsi" w:cstheme="majorHAnsi"/>
        </w:rPr>
        <w:t xml:space="preserve"> (Texto para </w:t>
      </w:r>
      <w:proofErr w:type="spellStart"/>
      <w:r w:rsidRPr="00985B97">
        <w:rPr>
          <w:rFonts w:asciiTheme="majorHAnsi" w:hAnsiTheme="majorHAnsi" w:cstheme="majorHAnsi"/>
        </w:rPr>
        <w:t>Discussão</w:t>
      </w:r>
      <w:proofErr w:type="spellEnd"/>
      <w:r w:rsidRPr="00985B97">
        <w:rPr>
          <w:rFonts w:asciiTheme="majorHAnsi" w:hAnsiTheme="majorHAnsi" w:cstheme="majorHAnsi"/>
        </w:rPr>
        <w:t xml:space="preserve"> </w:t>
      </w:r>
      <w:proofErr w:type="spellStart"/>
      <w:r w:rsidRPr="00985B97">
        <w:rPr>
          <w:rFonts w:asciiTheme="majorHAnsi" w:hAnsiTheme="majorHAnsi" w:cstheme="majorHAnsi"/>
        </w:rPr>
        <w:t>nº</w:t>
      </w:r>
      <w:proofErr w:type="spellEnd"/>
      <w:r w:rsidRPr="00985B97">
        <w:rPr>
          <w:rFonts w:asciiTheme="majorHAnsi" w:hAnsiTheme="majorHAnsi" w:cstheme="majorHAnsi"/>
        </w:rPr>
        <w:t xml:space="preserve"> 1735). </w:t>
      </w:r>
      <w:r w:rsidRPr="00985B97">
        <w:rPr>
          <w:rFonts w:asciiTheme="majorHAnsi" w:hAnsiTheme="majorHAnsi" w:cstheme="majorHAnsi"/>
          <w:lang w:val="en-US"/>
        </w:rPr>
        <w:t xml:space="preserve">Rio de Janeiro: </w:t>
      </w:r>
      <w:proofErr w:type="spellStart"/>
      <w:r w:rsidRPr="00985B97">
        <w:rPr>
          <w:rFonts w:asciiTheme="majorHAnsi" w:hAnsiTheme="majorHAnsi" w:cstheme="majorHAnsi"/>
          <w:lang w:val="en-US"/>
        </w:rPr>
        <w:t>Ipea</w:t>
      </w:r>
      <w:proofErr w:type="spellEnd"/>
      <w:r w:rsidRPr="00985B97">
        <w:rPr>
          <w:rFonts w:asciiTheme="majorHAnsi" w:hAnsiTheme="majorHAnsi" w:cstheme="majorHAnsi"/>
          <w:lang w:val="en-US"/>
        </w:rPr>
        <w:t>.</w:t>
      </w:r>
    </w:p>
    <w:p w14:paraId="789ABFEF" w14:textId="77777777" w:rsidR="00993DFA" w:rsidRPr="00985B97" w:rsidRDefault="00993DFA" w:rsidP="00AE2626">
      <w:pPr>
        <w:jc w:val="both"/>
        <w:rPr>
          <w:rFonts w:asciiTheme="majorHAnsi" w:hAnsiTheme="majorHAnsi" w:cstheme="majorHAnsi"/>
        </w:rPr>
      </w:pPr>
      <w:proofErr w:type="spellStart"/>
      <w:r w:rsidRPr="00985B97">
        <w:rPr>
          <w:rFonts w:asciiTheme="majorHAnsi" w:hAnsiTheme="majorHAnsi" w:cstheme="majorHAnsi"/>
          <w:lang w:val="en-US"/>
        </w:rPr>
        <w:t>Thelen</w:t>
      </w:r>
      <w:proofErr w:type="spellEnd"/>
      <w:r w:rsidRPr="00985B97">
        <w:rPr>
          <w:rFonts w:asciiTheme="majorHAnsi" w:hAnsiTheme="majorHAnsi" w:cstheme="majorHAnsi"/>
          <w:lang w:val="en-US"/>
        </w:rPr>
        <w:t xml:space="preserve">, K. (2004). </w:t>
      </w:r>
      <w:r w:rsidRPr="00985B97">
        <w:rPr>
          <w:rFonts w:asciiTheme="majorHAnsi" w:hAnsiTheme="majorHAnsi" w:cstheme="majorHAnsi"/>
          <w:i/>
          <w:iCs/>
          <w:lang w:val="en-US"/>
        </w:rPr>
        <w:t>How Institutions Evolve: The Political Economy of Skills in Germany, Britain, the United States, and Japan</w:t>
      </w:r>
      <w:r w:rsidRPr="00985B97">
        <w:rPr>
          <w:rFonts w:asciiTheme="majorHAnsi" w:hAnsiTheme="majorHAnsi" w:cstheme="majorHAnsi"/>
          <w:lang w:val="en-US"/>
        </w:rPr>
        <w:t xml:space="preserve">. </w:t>
      </w:r>
      <w:r w:rsidRPr="00985B97">
        <w:rPr>
          <w:rFonts w:asciiTheme="majorHAnsi" w:hAnsiTheme="majorHAnsi" w:cstheme="majorHAnsi"/>
        </w:rPr>
        <w:t xml:space="preserve">Cambridge, UK: Cambridge </w:t>
      </w:r>
      <w:proofErr w:type="spellStart"/>
      <w:r w:rsidRPr="00985B97">
        <w:rPr>
          <w:rFonts w:asciiTheme="majorHAnsi" w:hAnsiTheme="majorHAnsi" w:cstheme="majorHAnsi"/>
        </w:rPr>
        <w:t>University</w:t>
      </w:r>
      <w:proofErr w:type="spellEnd"/>
      <w:r w:rsidRPr="00985B97">
        <w:rPr>
          <w:rFonts w:asciiTheme="majorHAnsi" w:hAnsiTheme="majorHAnsi" w:cstheme="majorHAnsi"/>
        </w:rPr>
        <w:t xml:space="preserve"> </w:t>
      </w:r>
      <w:proofErr w:type="spellStart"/>
      <w:r w:rsidRPr="00985B97">
        <w:rPr>
          <w:rFonts w:asciiTheme="majorHAnsi" w:hAnsiTheme="majorHAnsi" w:cstheme="majorHAnsi"/>
        </w:rPr>
        <w:t>Press</w:t>
      </w:r>
      <w:proofErr w:type="spellEnd"/>
      <w:r w:rsidRPr="00985B97">
        <w:rPr>
          <w:rFonts w:asciiTheme="majorHAnsi" w:hAnsiTheme="majorHAnsi" w:cstheme="majorHAnsi"/>
        </w:rPr>
        <w:t>.</w:t>
      </w:r>
    </w:p>
    <w:p w14:paraId="63C21CDF" w14:textId="77777777" w:rsidR="00993DFA" w:rsidRPr="00985B97" w:rsidRDefault="00993DFA" w:rsidP="00A86834">
      <w:pPr>
        <w:pStyle w:val="Ttulo1"/>
      </w:pPr>
      <w:bookmarkStart w:id="114" w:name="_Toc235107988"/>
      <w:r w:rsidRPr="00985B97">
        <w:lastRenderedPageBreak/>
        <w:t>Anexos</w:t>
      </w:r>
      <w:bookmarkEnd w:id="114"/>
    </w:p>
    <w:p w14:paraId="28DA8A54" w14:textId="77777777" w:rsidR="00993DFA" w:rsidRPr="00985B97" w:rsidRDefault="00993DFA" w:rsidP="00985B97">
      <w:pPr>
        <w:jc w:val="both"/>
        <w:rPr>
          <w:rFonts w:asciiTheme="majorHAnsi" w:hAnsiTheme="majorHAnsi" w:cstheme="majorHAnsi"/>
          <w:lang w:val="es-ES"/>
        </w:rPr>
      </w:pPr>
      <w:r w:rsidRPr="00985B97">
        <w:rPr>
          <w:rFonts w:asciiTheme="majorHAnsi" w:hAnsiTheme="majorHAnsi" w:cstheme="majorHAnsi"/>
          <w:lang w:val="es-ES"/>
        </w:rPr>
        <w:t xml:space="preserve">Uno de los elementos de la propuesta metodológica de la línea de trabajo documental es la de la realización de un análisis comparado entre países en materia de arquitectura institucional, políticas públicas y políticas fiscales de cara a analizar experiencias y aprendizajes con el fin de generar recomendaciones a futuro sobre TEJ. </w:t>
      </w:r>
    </w:p>
    <w:p w14:paraId="62F980E5" w14:textId="77777777" w:rsidR="00993DFA" w:rsidRPr="00985B97" w:rsidRDefault="00993DFA" w:rsidP="00985B97">
      <w:pPr>
        <w:jc w:val="both"/>
        <w:rPr>
          <w:rFonts w:asciiTheme="majorHAnsi" w:hAnsiTheme="majorHAnsi" w:cstheme="majorHAnsi"/>
          <w:lang w:val="es-ES"/>
        </w:rPr>
      </w:pPr>
      <w:r w:rsidRPr="00985B97">
        <w:rPr>
          <w:rFonts w:asciiTheme="majorHAnsi" w:hAnsiTheme="majorHAnsi" w:cstheme="majorHAnsi"/>
          <w:lang w:val="es-ES"/>
        </w:rPr>
        <w:t>Teniendo en cuenta los documentos a realizar en el proyecto de inversión, se propone que la selección de países con el fin de seleccionar los mejores casos posibles de cara a recomendar mejoras y medidas para una TEJ. Se ha realizado una revisión de 3 indicadores de transición energética y a partir de ello una delimitación de posibles países a elegir. Los indicadores son:</w:t>
      </w:r>
    </w:p>
    <w:p w14:paraId="18D2BCDE" w14:textId="77777777" w:rsidR="00993DFA" w:rsidRPr="00985B97" w:rsidRDefault="00993DFA" w:rsidP="00721806">
      <w:pPr>
        <w:pStyle w:val="Prrafodelista"/>
        <w:numPr>
          <w:ilvl w:val="0"/>
          <w:numId w:val="55"/>
        </w:numPr>
        <w:jc w:val="both"/>
        <w:rPr>
          <w:rFonts w:asciiTheme="majorHAnsi" w:hAnsiTheme="majorHAnsi" w:cstheme="majorHAnsi"/>
          <w:lang w:val="es-ES"/>
        </w:rPr>
      </w:pPr>
      <w:proofErr w:type="spellStart"/>
      <w:r w:rsidRPr="00985B97">
        <w:rPr>
          <w:rFonts w:asciiTheme="majorHAnsi" w:hAnsiTheme="majorHAnsi" w:cstheme="majorHAnsi"/>
          <w:lang w:val="es-ES"/>
        </w:rPr>
        <w:t>Climate</w:t>
      </w:r>
      <w:proofErr w:type="spellEnd"/>
      <w:r w:rsidRPr="00985B97">
        <w:rPr>
          <w:rFonts w:asciiTheme="majorHAnsi" w:hAnsiTheme="majorHAnsi" w:cstheme="majorHAnsi"/>
          <w:lang w:val="es-ES"/>
        </w:rPr>
        <w:t xml:space="preserve"> Change Performance </w:t>
      </w:r>
      <w:proofErr w:type="spellStart"/>
      <w:r w:rsidRPr="00985B97">
        <w:rPr>
          <w:rFonts w:asciiTheme="majorHAnsi" w:hAnsiTheme="majorHAnsi" w:cstheme="majorHAnsi"/>
          <w:lang w:val="es-ES"/>
        </w:rPr>
        <w:t>Index</w:t>
      </w:r>
      <w:proofErr w:type="spellEnd"/>
      <w:r w:rsidRPr="00985B97">
        <w:rPr>
          <w:rFonts w:asciiTheme="majorHAnsi" w:hAnsiTheme="majorHAnsi" w:cstheme="majorHAnsi"/>
          <w:lang w:val="es-ES"/>
        </w:rPr>
        <w:t>: Es un índice que prioriza el cumplimiento de compromisos de emisiones de CO2.</w:t>
      </w:r>
    </w:p>
    <w:p w14:paraId="67A444CC" w14:textId="77777777" w:rsidR="00993DFA" w:rsidRPr="00985B97" w:rsidRDefault="00993DFA" w:rsidP="00721806">
      <w:pPr>
        <w:pStyle w:val="Prrafodelista"/>
        <w:numPr>
          <w:ilvl w:val="0"/>
          <w:numId w:val="55"/>
        </w:numPr>
        <w:jc w:val="both"/>
        <w:rPr>
          <w:rFonts w:asciiTheme="majorHAnsi" w:hAnsiTheme="majorHAnsi" w:cstheme="majorHAnsi"/>
          <w:lang w:val="es-ES"/>
        </w:rPr>
      </w:pPr>
      <w:r w:rsidRPr="00985B97">
        <w:rPr>
          <w:rFonts w:asciiTheme="majorHAnsi" w:hAnsiTheme="majorHAnsi" w:cstheme="majorHAnsi"/>
          <w:lang w:val="es-ES"/>
        </w:rPr>
        <w:t xml:space="preserve">Energy </w:t>
      </w:r>
      <w:proofErr w:type="spellStart"/>
      <w:r w:rsidRPr="00985B97">
        <w:rPr>
          <w:rFonts w:asciiTheme="majorHAnsi" w:hAnsiTheme="majorHAnsi" w:cstheme="majorHAnsi"/>
          <w:lang w:val="es-ES"/>
        </w:rPr>
        <w:t>Transition</w:t>
      </w:r>
      <w:proofErr w:type="spellEnd"/>
      <w:r w:rsidRPr="00985B97">
        <w:rPr>
          <w:rFonts w:asciiTheme="majorHAnsi" w:hAnsiTheme="majorHAnsi" w:cstheme="majorHAnsi"/>
          <w:lang w:val="es-ES"/>
        </w:rPr>
        <w:t xml:space="preserve"> </w:t>
      </w:r>
      <w:proofErr w:type="spellStart"/>
      <w:r w:rsidRPr="00985B97">
        <w:rPr>
          <w:rFonts w:asciiTheme="majorHAnsi" w:hAnsiTheme="majorHAnsi" w:cstheme="majorHAnsi"/>
          <w:lang w:val="es-ES"/>
        </w:rPr>
        <w:t>Index</w:t>
      </w:r>
      <w:proofErr w:type="spellEnd"/>
      <w:r w:rsidRPr="00985B97">
        <w:rPr>
          <w:rFonts w:asciiTheme="majorHAnsi" w:hAnsiTheme="majorHAnsi" w:cstheme="majorHAnsi"/>
          <w:lang w:val="es-ES"/>
        </w:rPr>
        <w:t>: Es un índice que tiene en cuenta dos elementos, el comportamiento del sistema energético de cada país, el cual es el elemento de mayor peso, y la preparación de cada país de cara a la transición energética.</w:t>
      </w:r>
    </w:p>
    <w:p w14:paraId="23F03023" w14:textId="77777777" w:rsidR="00993DFA" w:rsidRPr="00985B97" w:rsidRDefault="00993DFA" w:rsidP="00721806">
      <w:pPr>
        <w:pStyle w:val="Prrafodelista"/>
        <w:numPr>
          <w:ilvl w:val="0"/>
          <w:numId w:val="55"/>
        </w:numPr>
        <w:jc w:val="both"/>
        <w:rPr>
          <w:rFonts w:asciiTheme="majorHAnsi" w:hAnsiTheme="majorHAnsi" w:cstheme="majorHAnsi"/>
          <w:lang w:val="es-ES"/>
        </w:rPr>
      </w:pPr>
      <w:proofErr w:type="spellStart"/>
      <w:r w:rsidRPr="00985B97">
        <w:rPr>
          <w:rFonts w:asciiTheme="majorHAnsi" w:hAnsiTheme="majorHAnsi" w:cstheme="majorHAnsi"/>
          <w:lang w:val="es-ES"/>
        </w:rPr>
        <w:t>World</w:t>
      </w:r>
      <w:proofErr w:type="spellEnd"/>
      <w:r w:rsidRPr="00985B97">
        <w:rPr>
          <w:rFonts w:asciiTheme="majorHAnsi" w:hAnsiTheme="majorHAnsi" w:cstheme="majorHAnsi"/>
          <w:lang w:val="es-ES"/>
        </w:rPr>
        <w:t xml:space="preserve"> Energy </w:t>
      </w:r>
      <w:proofErr w:type="spellStart"/>
      <w:r w:rsidRPr="00985B97">
        <w:rPr>
          <w:rFonts w:asciiTheme="majorHAnsi" w:hAnsiTheme="majorHAnsi" w:cstheme="majorHAnsi"/>
          <w:lang w:val="es-ES"/>
        </w:rPr>
        <w:t>Trilemma</w:t>
      </w:r>
      <w:proofErr w:type="spellEnd"/>
      <w:r w:rsidRPr="00985B97">
        <w:rPr>
          <w:rFonts w:asciiTheme="majorHAnsi" w:hAnsiTheme="majorHAnsi" w:cstheme="majorHAnsi"/>
          <w:lang w:val="es-ES"/>
        </w:rPr>
        <w:t xml:space="preserve"> </w:t>
      </w:r>
      <w:proofErr w:type="spellStart"/>
      <w:r w:rsidRPr="00985B97">
        <w:rPr>
          <w:rFonts w:asciiTheme="majorHAnsi" w:hAnsiTheme="majorHAnsi" w:cstheme="majorHAnsi"/>
          <w:lang w:val="es-ES"/>
        </w:rPr>
        <w:t>Index</w:t>
      </w:r>
      <w:proofErr w:type="spellEnd"/>
      <w:r w:rsidRPr="00985B97">
        <w:rPr>
          <w:rFonts w:asciiTheme="majorHAnsi" w:hAnsiTheme="majorHAnsi" w:cstheme="majorHAnsi"/>
          <w:lang w:val="es-ES"/>
        </w:rPr>
        <w:t xml:space="preserve">: Este índice tiene en cuenta tres elementos principalmente: seguridad energética, equidad energética y sostenibilidad. </w:t>
      </w:r>
    </w:p>
    <w:p w14:paraId="50736304" w14:textId="77777777" w:rsidR="00993DFA" w:rsidRPr="00985B97" w:rsidRDefault="00993DFA" w:rsidP="00985B97">
      <w:pPr>
        <w:jc w:val="both"/>
        <w:rPr>
          <w:rFonts w:asciiTheme="majorHAnsi" w:hAnsiTheme="majorHAnsi" w:cstheme="majorHAnsi"/>
          <w:lang w:val="es-ES"/>
        </w:rPr>
      </w:pPr>
      <w:r w:rsidRPr="00985B97">
        <w:rPr>
          <w:rFonts w:asciiTheme="majorHAnsi" w:hAnsiTheme="majorHAnsi" w:cstheme="majorHAnsi"/>
          <w:lang w:val="es-ES"/>
        </w:rPr>
        <w:t>Se revisaron tanto los países más frecuentes en los primeros puestos como una versión regionalizada de los países a elegir. De esta manera, quedan algunos países preseleccionados (Tabla 2).</w:t>
      </w:r>
    </w:p>
    <w:p w14:paraId="75AA620C" w14:textId="77777777" w:rsidR="00993DFA" w:rsidRPr="00985B97" w:rsidRDefault="00993DFA" w:rsidP="00985B97">
      <w:pPr>
        <w:jc w:val="both"/>
        <w:rPr>
          <w:rFonts w:asciiTheme="majorHAnsi" w:hAnsiTheme="majorHAnsi" w:cstheme="majorHAnsi"/>
          <w:lang w:val="es-ES"/>
        </w:rPr>
      </w:pPr>
      <w:r w:rsidRPr="00985B97">
        <w:rPr>
          <w:rFonts w:asciiTheme="majorHAnsi" w:hAnsiTheme="majorHAnsi" w:cstheme="majorHAnsi"/>
          <w:b/>
          <w:bCs/>
          <w:lang w:val="es-ES"/>
        </w:rPr>
        <w:t>Tabla 2.</w:t>
      </w:r>
      <w:r w:rsidRPr="00985B97">
        <w:rPr>
          <w:rFonts w:asciiTheme="majorHAnsi" w:hAnsiTheme="majorHAnsi" w:cstheme="majorHAnsi"/>
          <w:lang w:val="es-ES"/>
        </w:rPr>
        <w:t xml:space="preserve"> </w:t>
      </w:r>
      <w:r w:rsidRPr="00985B97">
        <w:rPr>
          <w:rFonts w:asciiTheme="majorHAnsi" w:hAnsiTheme="majorHAnsi" w:cstheme="majorHAnsi"/>
          <w:i/>
          <w:iCs/>
          <w:lang w:val="es-ES"/>
        </w:rPr>
        <w:t>Ranking de países preseleccionados.</w:t>
      </w:r>
    </w:p>
    <w:tbl>
      <w:tblPr>
        <w:tblStyle w:val="Tablaconcuadrcula"/>
        <w:tblW w:w="0" w:type="auto"/>
        <w:jc w:val="center"/>
        <w:tblLook w:val="04A0" w:firstRow="1" w:lastRow="0" w:firstColumn="1" w:lastColumn="0" w:noHBand="0" w:noVBand="1"/>
      </w:tblPr>
      <w:tblGrid>
        <w:gridCol w:w="1438"/>
        <w:gridCol w:w="1913"/>
        <w:gridCol w:w="1682"/>
        <w:gridCol w:w="1427"/>
        <w:gridCol w:w="1680"/>
      </w:tblGrid>
      <w:tr w:rsidR="00993DFA" w:rsidRPr="00985B97" w14:paraId="6BCEE0C9" w14:textId="77777777" w:rsidTr="003C2C7C">
        <w:trPr>
          <w:trHeight w:val="96"/>
          <w:tblHeader/>
          <w:jc w:val="center"/>
        </w:trPr>
        <w:tc>
          <w:tcPr>
            <w:tcW w:w="8140" w:type="dxa"/>
            <w:gridSpan w:val="5"/>
            <w:shd w:val="clear" w:color="auto" w:fill="D9D9D9" w:themeFill="background1" w:themeFillShade="D9"/>
            <w:noWrap/>
            <w:hideMark/>
          </w:tcPr>
          <w:p w14:paraId="24805F25" w14:textId="77777777" w:rsidR="00993DFA" w:rsidRPr="00985B97" w:rsidRDefault="00993DFA" w:rsidP="00985B97">
            <w:pPr>
              <w:jc w:val="center"/>
              <w:rPr>
                <w:rFonts w:asciiTheme="majorHAnsi" w:hAnsiTheme="majorHAnsi" w:cstheme="majorHAnsi"/>
                <w:b/>
                <w:bCs/>
              </w:rPr>
            </w:pPr>
            <w:r w:rsidRPr="00985B97">
              <w:rPr>
                <w:rFonts w:asciiTheme="majorHAnsi" w:hAnsiTheme="majorHAnsi" w:cstheme="majorHAnsi"/>
                <w:b/>
                <w:bCs/>
              </w:rPr>
              <w:t>Ranking comparativo de países</w:t>
            </w:r>
          </w:p>
        </w:tc>
      </w:tr>
      <w:tr w:rsidR="00993DFA" w:rsidRPr="00985B97" w14:paraId="599D26C5" w14:textId="77777777" w:rsidTr="003C2C7C">
        <w:trPr>
          <w:trHeight w:val="315"/>
          <w:tblHeader/>
          <w:jc w:val="center"/>
        </w:trPr>
        <w:tc>
          <w:tcPr>
            <w:tcW w:w="1438" w:type="dxa"/>
            <w:shd w:val="clear" w:color="auto" w:fill="D9D9D9" w:themeFill="background1" w:themeFillShade="D9"/>
            <w:noWrap/>
            <w:hideMark/>
          </w:tcPr>
          <w:p w14:paraId="7A9270C2" w14:textId="77777777" w:rsidR="00993DFA" w:rsidRPr="00985B97" w:rsidRDefault="00993DFA" w:rsidP="00985B97">
            <w:pPr>
              <w:jc w:val="both"/>
              <w:rPr>
                <w:rFonts w:asciiTheme="majorHAnsi" w:hAnsiTheme="majorHAnsi" w:cstheme="majorHAnsi"/>
                <w:b/>
                <w:bCs/>
              </w:rPr>
            </w:pPr>
            <w:r w:rsidRPr="00985B97">
              <w:rPr>
                <w:rFonts w:asciiTheme="majorHAnsi" w:hAnsiTheme="majorHAnsi" w:cstheme="majorHAnsi"/>
                <w:b/>
                <w:bCs/>
              </w:rPr>
              <w:t>Continente</w:t>
            </w:r>
          </w:p>
        </w:tc>
        <w:tc>
          <w:tcPr>
            <w:tcW w:w="1913" w:type="dxa"/>
            <w:shd w:val="clear" w:color="auto" w:fill="D9D9D9" w:themeFill="background1" w:themeFillShade="D9"/>
            <w:noWrap/>
            <w:hideMark/>
          </w:tcPr>
          <w:p w14:paraId="5EFCB87D" w14:textId="77777777" w:rsidR="00993DFA" w:rsidRPr="00985B97" w:rsidRDefault="00993DFA" w:rsidP="00985B97">
            <w:pPr>
              <w:jc w:val="both"/>
              <w:rPr>
                <w:rFonts w:asciiTheme="majorHAnsi" w:hAnsiTheme="majorHAnsi" w:cstheme="majorHAnsi"/>
                <w:b/>
                <w:bCs/>
              </w:rPr>
            </w:pPr>
            <w:r w:rsidRPr="00985B97">
              <w:rPr>
                <w:rFonts w:asciiTheme="majorHAnsi" w:hAnsiTheme="majorHAnsi" w:cstheme="majorHAnsi"/>
                <w:b/>
                <w:bCs/>
              </w:rPr>
              <w:t>País</w:t>
            </w:r>
          </w:p>
        </w:tc>
        <w:tc>
          <w:tcPr>
            <w:tcW w:w="1682" w:type="dxa"/>
            <w:shd w:val="clear" w:color="auto" w:fill="D9D9D9" w:themeFill="background1" w:themeFillShade="D9"/>
            <w:noWrap/>
            <w:hideMark/>
          </w:tcPr>
          <w:p w14:paraId="203E708C" w14:textId="77777777" w:rsidR="00993DFA" w:rsidRPr="00985B97" w:rsidRDefault="00993DFA" w:rsidP="00985B97">
            <w:pPr>
              <w:jc w:val="both"/>
              <w:rPr>
                <w:rFonts w:asciiTheme="majorHAnsi" w:hAnsiTheme="majorHAnsi" w:cstheme="majorHAnsi"/>
                <w:b/>
                <w:bCs/>
              </w:rPr>
            </w:pPr>
            <w:r w:rsidRPr="00985B97">
              <w:rPr>
                <w:rFonts w:asciiTheme="majorHAnsi" w:hAnsiTheme="majorHAnsi" w:cstheme="majorHAnsi"/>
                <w:b/>
                <w:bCs/>
              </w:rPr>
              <w:t>Puntaje CCPI</w:t>
            </w:r>
          </w:p>
        </w:tc>
        <w:tc>
          <w:tcPr>
            <w:tcW w:w="1427" w:type="dxa"/>
            <w:shd w:val="clear" w:color="auto" w:fill="D9D9D9" w:themeFill="background1" w:themeFillShade="D9"/>
            <w:noWrap/>
            <w:hideMark/>
          </w:tcPr>
          <w:p w14:paraId="16707C3C" w14:textId="77777777" w:rsidR="00993DFA" w:rsidRPr="00985B97" w:rsidRDefault="00993DFA" w:rsidP="00985B97">
            <w:pPr>
              <w:jc w:val="center"/>
              <w:rPr>
                <w:rFonts w:asciiTheme="majorHAnsi" w:hAnsiTheme="majorHAnsi" w:cstheme="majorHAnsi"/>
                <w:b/>
                <w:bCs/>
              </w:rPr>
            </w:pPr>
            <w:r w:rsidRPr="00985B97">
              <w:rPr>
                <w:rFonts w:asciiTheme="majorHAnsi" w:hAnsiTheme="majorHAnsi" w:cstheme="majorHAnsi"/>
                <w:b/>
                <w:bCs/>
              </w:rPr>
              <w:t>Puntaje ETI</w:t>
            </w:r>
          </w:p>
        </w:tc>
        <w:tc>
          <w:tcPr>
            <w:tcW w:w="1680" w:type="dxa"/>
            <w:shd w:val="clear" w:color="auto" w:fill="D9D9D9" w:themeFill="background1" w:themeFillShade="D9"/>
            <w:noWrap/>
            <w:hideMark/>
          </w:tcPr>
          <w:p w14:paraId="745AC74F" w14:textId="77777777" w:rsidR="00993DFA" w:rsidRPr="00985B97" w:rsidRDefault="00993DFA" w:rsidP="00985B97">
            <w:pPr>
              <w:jc w:val="center"/>
              <w:rPr>
                <w:rFonts w:asciiTheme="majorHAnsi" w:hAnsiTheme="majorHAnsi" w:cstheme="majorHAnsi"/>
                <w:b/>
                <w:bCs/>
              </w:rPr>
            </w:pPr>
            <w:r w:rsidRPr="00985B97">
              <w:rPr>
                <w:rFonts w:asciiTheme="majorHAnsi" w:hAnsiTheme="majorHAnsi" w:cstheme="majorHAnsi"/>
                <w:b/>
                <w:bCs/>
              </w:rPr>
              <w:t>Puntaje WETI</w:t>
            </w:r>
          </w:p>
        </w:tc>
      </w:tr>
      <w:tr w:rsidR="00993DFA" w:rsidRPr="00985B97" w14:paraId="130CCA6C" w14:textId="77777777" w:rsidTr="003C2C7C">
        <w:trPr>
          <w:trHeight w:val="315"/>
          <w:jc w:val="center"/>
        </w:trPr>
        <w:tc>
          <w:tcPr>
            <w:tcW w:w="1438" w:type="dxa"/>
            <w:noWrap/>
            <w:hideMark/>
          </w:tcPr>
          <w:p w14:paraId="7CE5442E"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África</w:t>
            </w:r>
          </w:p>
        </w:tc>
        <w:tc>
          <w:tcPr>
            <w:tcW w:w="1913" w:type="dxa"/>
            <w:noWrap/>
            <w:hideMark/>
          </w:tcPr>
          <w:p w14:paraId="02759924"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Marruecos</w:t>
            </w:r>
          </w:p>
        </w:tc>
        <w:tc>
          <w:tcPr>
            <w:tcW w:w="1682" w:type="dxa"/>
            <w:noWrap/>
            <w:hideMark/>
          </w:tcPr>
          <w:p w14:paraId="7480BA70"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70,75</w:t>
            </w:r>
          </w:p>
        </w:tc>
        <w:tc>
          <w:tcPr>
            <w:tcW w:w="1427" w:type="dxa"/>
            <w:noWrap/>
            <w:hideMark/>
          </w:tcPr>
          <w:p w14:paraId="097D5C05"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53,70</w:t>
            </w:r>
          </w:p>
        </w:tc>
        <w:tc>
          <w:tcPr>
            <w:tcW w:w="1680" w:type="dxa"/>
            <w:noWrap/>
            <w:hideMark/>
          </w:tcPr>
          <w:p w14:paraId="293FE3A4"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59,60</w:t>
            </w:r>
          </w:p>
        </w:tc>
      </w:tr>
      <w:tr w:rsidR="00993DFA" w:rsidRPr="00985B97" w14:paraId="22BB7181" w14:textId="77777777" w:rsidTr="003C2C7C">
        <w:trPr>
          <w:trHeight w:val="315"/>
          <w:jc w:val="center"/>
        </w:trPr>
        <w:tc>
          <w:tcPr>
            <w:tcW w:w="1438" w:type="dxa"/>
            <w:noWrap/>
            <w:hideMark/>
          </w:tcPr>
          <w:p w14:paraId="6CBE3B6B"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África</w:t>
            </w:r>
          </w:p>
        </w:tc>
        <w:tc>
          <w:tcPr>
            <w:tcW w:w="1913" w:type="dxa"/>
            <w:noWrap/>
            <w:hideMark/>
          </w:tcPr>
          <w:p w14:paraId="58FA5BD3"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Islas Mauricio</w:t>
            </w:r>
          </w:p>
        </w:tc>
        <w:tc>
          <w:tcPr>
            <w:tcW w:w="1682" w:type="dxa"/>
            <w:noWrap/>
            <w:hideMark/>
          </w:tcPr>
          <w:p w14:paraId="17A1937C"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w:t>
            </w:r>
          </w:p>
        </w:tc>
        <w:tc>
          <w:tcPr>
            <w:tcW w:w="1427" w:type="dxa"/>
            <w:noWrap/>
            <w:hideMark/>
          </w:tcPr>
          <w:p w14:paraId="2CA3A9C1"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53,90</w:t>
            </w:r>
          </w:p>
        </w:tc>
        <w:tc>
          <w:tcPr>
            <w:tcW w:w="1680" w:type="dxa"/>
            <w:noWrap/>
            <w:hideMark/>
          </w:tcPr>
          <w:p w14:paraId="1DB42350"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65,30</w:t>
            </w:r>
          </w:p>
        </w:tc>
      </w:tr>
      <w:tr w:rsidR="00993DFA" w:rsidRPr="00985B97" w14:paraId="08BA1958" w14:textId="77777777" w:rsidTr="003C2C7C">
        <w:trPr>
          <w:trHeight w:val="315"/>
          <w:jc w:val="center"/>
        </w:trPr>
        <w:tc>
          <w:tcPr>
            <w:tcW w:w="1438" w:type="dxa"/>
            <w:noWrap/>
            <w:hideMark/>
          </w:tcPr>
          <w:p w14:paraId="0BFE399C"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África</w:t>
            </w:r>
          </w:p>
        </w:tc>
        <w:tc>
          <w:tcPr>
            <w:tcW w:w="1913" w:type="dxa"/>
            <w:noWrap/>
            <w:hideMark/>
          </w:tcPr>
          <w:p w14:paraId="32F4BDAF"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Egipto</w:t>
            </w:r>
          </w:p>
        </w:tc>
        <w:tc>
          <w:tcPr>
            <w:tcW w:w="1682" w:type="dxa"/>
            <w:noWrap/>
            <w:hideMark/>
          </w:tcPr>
          <w:p w14:paraId="721DBC43"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53,74</w:t>
            </w:r>
          </w:p>
        </w:tc>
        <w:tc>
          <w:tcPr>
            <w:tcW w:w="1427" w:type="dxa"/>
            <w:noWrap/>
            <w:hideMark/>
          </w:tcPr>
          <w:p w14:paraId="79CC406F"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53,10</w:t>
            </w:r>
          </w:p>
        </w:tc>
        <w:tc>
          <w:tcPr>
            <w:tcW w:w="1680" w:type="dxa"/>
            <w:noWrap/>
            <w:hideMark/>
          </w:tcPr>
          <w:p w14:paraId="2BD0EA52"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62,20</w:t>
            </w:r>
          </w:p>
        </w:tc>
      </w:tr>
      <w:tr w:rsidR="00993DFA" w:rsidRPr="00985B97" w14:paraId="43ED6BA4" w14:textId="77777777" w:rsidTr="003C2C7C">
        <w:trPr>
          <w:trHeight w:val="315"/>
          <w:jc w:val="center"/>
        </w:trPr>
        <w:tc>
          <w:tcPr>
            <w:tcW w:w="1438" w:type="dxa"/>
            <w:noWrap/>
            <w:hideMark/>
          </w:tcPr>
          <w:p w14:paraId="666AF85E"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África</w:t>
            </w:r>
          </w:p>
        </w:tc>
        <w:tc>
          <w:tcPr>
            <w:tcW w:w="1913" w:type="dxa"/>
            <w:noWrap/>
            <w:hideMark/>
          </w:tcPr>
          <w:p w14:paraId="30C71F37" w14:textId="77777777" w:rsidR="00993DFA" w:rsidRPr="00985B97" w:rsidRDefault="00993DFA" w:rsidP="00985B97">
            <w:pPr>
              <w:jc w:val="both"/>
              <w:rPr>
                <w:rFonts w:asciiTheme="majorHAnsi" w:hAnsiTheme="majorHAnsi" w:cstheme="majorHAnsi"/>
              </w:rPr>
            </w:pPr>
            <w:proofErr w:type="spellStart"/>
            <w:r w:rsidRPr="00985B97">
              <w:rPr>
                <w:rFonts w:asciiTheme="majorHAnsi" w:hAnsiTheme="majorHAnsi" w:cstheme="majorHAnsi"/>
              </w:rPr>
              <w:t>Algeria</w:t>
            </w:r>
            <w:proofErr w:type="spellEnd"/>
          </w:p>
        </w:tc>
        <w:tc>
          <w:tcPr>
            <w:tcW w:w="1682" w:type="dxa"/>
            <w:noWrap/>
            <w:hideMark/>
          </w:tcPr>
          <w:p w14:paraId="62055E7D"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52,92</w:t>
            </w:r>
          </w:p>
        </w:tc>
        <w:tc>
          <w:tcPr>
            <w:tcW w:w="1427" w:type="dxa"/>
            <w:noWrap/>
            <w:hideMark/>
          </w:tcPr>
          <w:p w14:paraId="0306D5A1"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50,70</w:t>
            </w:r>
          </w:p>
        </w:tc>
        <w:tc>
          <w:tcPr>
            <w:tcW w:w="1680" w:type="dxa"/>
            <w:noWrap/>
            <w:hideMark/>
          </w:tcPr>
          <w:p w14:paraId="383E2A66"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62,00</w:t>
            </w:r>
          </w:p>
        </w:tc>
      </w:tr>
      <w:tr w:rsidR="00993DFA" w:rsidRPr="00985B97" w14:paraId="1D2C068D" w14:textId="77777777" w:rsidTr="003C2C7C">
        <w:trPr>
          <w:trHeight w:val="315"/>
          <w:jc w:val="center"/>
        </w:trPr>
        <w:tc>
          <w:tcPr>
            <w:tcW w:w="1438" w:type="dxa"/>
            <w:noWrap/>
            <w:hideMark/>
          </w:tcPr>
          <w:p w14:paraId="0647423B"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África</w:t>
            </w:r>
          </w:p>
        </w:tc>
        <w:tc>
          <w:tcPr>
            <w:tcW w:w="1913" w:type="dxa"/>
            <w:noWrap/>
            <w:hideMark/>
          </w:tcPr>
          <w:p w14:paraId="76C48821"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Namibia</w:t>
            </w:r>
          </w:p>
        </w:tc>
        <w:tc>
          <w:tcPr>
            <w:tcW w:w="1682" w:type="dxa"/>
            <w:noWrap/>
            <w:hideMark/>
          </w:tcPr>
          <w:p w14:paraId="6CA74AC1"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w:t>
            </w:r>
          </w:p>
        </w:tc>
        <w:tc>
          <w:tcPr>
            <w:tcW w:w="1427" w:type="dxa"/>
            <w:noWrap/>
            <w:hideMark/>
          </w:tcPr>
          <w:p w14:paraId="68EBB630"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54,40</w:t>
            </w:r>
          </w:p>
        </w:tc>
        <w:tc>
          <w:tcPr>
            <w:tcW w:w="1680" w:type="dxa"/>
            <w:noWrap/>
            <w:hideMark/>
          </w:tcPr>
          <w:p w14:paraId="35B934D1"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55,80</w:t>
            </w:r>
          </w:p>
        </w:tc>
      </w:tr>
      <w:tr w:rsidR="00993DFA" w:rsidRPr="00985B97" w14:paraId="0FCB7F64" w14:textId="77777777" w:rsidTr="003C2C7C">
        <w:trPr>
          <w:trHeight w:val="315"/>
          <w:jc w:val="center"/>
        </w:trPr>
        <w:tc>
          <w:tcPr>
            <w:tcW w:w="1438" w:type="dxa"/>
            <w:noWrap/>
            <w:hideMark/>
          </w:tcPr>
          <w:p w14:paraId="3D0413C8"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lastRenderedPageBreak/>
              <w:t>África</w:t>
            </w:r>
          </w:p>
        </w:tc>
        <w:tc>
          <w:tcPr>
            <w:tcW w:w="1913" w:type="dxa"/>
            <w:noWrap/>
            <w:hideMark/>
          </w:tcPr>
          <w:p w14:paraId="6077C136"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Nigeria</w:t>
            </w:r>
          </w:p>
        </w:tc>
        <w:tc>
          <w:tcPr>
            <w:tcW w:w="1682" w:type="dxa"/>
            <w:noWrap/>
            <w:hideMark/>
          </w:tcPr>
          <w:p w14:paraId="6D3C217C"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63,33</w:t>
            </w:r>
          </w:p>
        </w:tc>
        <w:tc>
          <w:tcPr>
            <w:tcW w:w="1427" w:type="dxa"/>
            <w:noWrap/>
            <w:hideMark/>
          </w:tcPr>
          <w:p w14:paraId="36DD8F54"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54,80</w:t>
            </w:r>
          </w:p>
        </w:tc>
        <w:tc>
          <w:tcPr>
            <w:tcW w:w="1680" w:type="dxa"/>
            <w:noWrap/>
            <w:hideMark/>
          </w:tcPr>
          <w:p w14:paraId="6CD057F7"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39,20</w:t>
            </w:r>
          </w:p>
        </w:tc>
      </w:tr>
      <w:tr w:rsidR="00993DFA" w:rsidRPr="00985B97" w14:paraId="43F5AC43" w14:textId="77777777" w:rsidTr="003C2C7C">
        <w:trPr>
          <w:trHeight w:val="315"/>
          <w:jc w:val="center"/>
        </w:trPr>
        <w:tc>
          <w:tcPr>
            <w:tcW w:w="1438" w:type="dxa"/>
            <w:noWrap/>
            <w:hideMark/>
          </w:tcPr>
          <w:p w14:paraId="0CE2DF18"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Asia</w:t>
            </w:r>
          </w:p>
        </w:tc>
        <w:tc>
          <w:tcPr>
            <w:tcW w:w="1913" w:type="dxa"/>
            <w:noWrap/>
            <w:hideMark/>
          </w:tcPr>
          <w:p w14:paraId="7695654C"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Israel</w:t>
            </w:r>
          </w:p>
        </w:tc>
        <w:tc>
          <w:tcPr>
            <w:tcW w:w="1682" w:type="dxa"/>
            <w:noWrap/>
            <w:hideMark/>
          </w:tcPr>
          <w:p w14:paraId="5C5BFCAF"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w:t>
            </w:r>
          </w:p>
        </w:tc>
        <w:tc>
          <w:tcPr>
            <w:tcW w:w="1427" w:type="dxa"/>
            <w:noWrap/>
            <w:hideMark/>
          </w:tcPr>
          <w:p w14:paraId="4FF9AAF4"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66,10</w:t>
            </w:r>
          </w:p>
        </w:tc>
        <w:tc>
          <w:tcPr>
            <w:tcW w:w="1680" w:type="dxa"/>
            <w:noWrap/>
            <w:hideMark/>
          </w:tcPr>
          <w:p w14:paraId="38202344"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74,10</w:t>
            </w:r>
          </w:p>
        </w:tc>
      </w:tr>
      <w:tr w:rsidR="00993DFA" w:rsidRPr="00985B97" w14:paraId="4245B2F4" w14:textId="77777777" w:rsidTr="003C2C7C">
        <w:trPr>
          <w:trHeight w:val="315"/>
          <w:jc w:val="center"/>
        </w:trPr>
        <w:tc>
          <w:tcPr>
            <w:tcW w:w="1438" w:type="dxa"/>
            <w:noWrap/>
            <w:hideMark/>
          </w:tcPr>
          <w:p w14:paraId="42DE67E6"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Asia</w:t>
            </w:r>
          </w:p>
        </w:tc>
        <w:tc>
          <w:tcPr>
            <w:tcW w:w="1913" w:type="dxa"/>
            <w:noWrap/>
            <w:hideMark/>
          </w:tcPr>
          <w:p w14:paraId="6944A90F"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Japón</w:t>
            </w:r>
          </w:p>
        </w:tc>
        <w:tc>
          <w:tcPr>
            <w:tcW w:w="1682" w:type="dxa"/>
            <w:noWrap/>
            <w:hideMark/>
          </w:tcPr>
          <w:p w14:paraId="0A16A1BC"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40,95</w:t>
            </w:r>
          </w:p>
        </w:tc>
        <w:tc>
          <w:tcPr>
            <w:tcW w:w="1427" w:type="dxa"/>
            <w:noWrap/>
            <w:hideMark/>
          </w:tcPr>
          <w:p w14:paraId="21475163"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64,90</w:t>
            </w:r>
          </w:p>
        </w:tc>
        <w:tc>
          <w:tcPr>
            <w:tcW w:w="1680" w:type="dxa"/>
            <w:noWrap/>
            <w:hideMark/>
          </w:tcPr>
          <w:p w14:paraId="4809FD42"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75,00</w:t>
            </w:r>
          </w:p>
        </w:tc>
      </w:tr>
      <w:tr w:rsidR="00993DFA" w:rsidRPr="00985B97" w14:paraId="55E39B8C" w14:textId="77777777" w:rsidTr="003C2C7C">
        <w:trPr>
          <w:trHeight w:val="315"/>
          <w:jc w:val="center"/>
        </w:trPr>
        <w:tc>
          <w:tcPr>
            <w:tcW w:w="1438" w:type="dxa"/>
            <w:noWrap/>
            <w:hideMark/>
          </w:tcPr>
          <w:p w14:paraId="06EF1CA7"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Asia</w:t>
            </w:r>
          </w:p>
        </w:tc>
        <w:tc>
          <w:tcPr>
            <w:tcW w:w="1913" w:type="dxa"/>
            <w:noWrap/>
            <w:hideMark/>
          </w:tcPr>
          <w:p w14:paraId="1E2AD643"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China</w:t>
            </w:r>
          </w:p>
        </w:tc>
        <w:tc>
          <w:tcPr>
            <w:tcW w:w="1682" w:type="dxa"/>
            <w:noWrap/>
            <w:hideMark/>
          </w:tcPr>
          <w:p w14:paraId="6C6A8687"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44,45</w:t>
            </w:r>
          </w:p>
        </w:tc>
        <w:tc>
          <w:tcPr>
            <w:tcW w:w="1427" w:type="dxa"/>
            <w:noWrap/>
            <w:hideMark/>
          </w:tcPr>
          <w:p w14:paraId="4DB7E01B"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67,50</w:t>
            </w:r>
          </w:p>
        </w:tc>
        <w:tc>
          <w:tcPr>
            <w:tcW w:w="1680" w:type="dxa"/>
            <w:noWrap/>
            <w:hideMark/>
          </w:tcPr>
          <w:p w14:paraId="221D376A"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64,40</w:t>
            </w:r>
          </w:p>
        </w:tc>
      </w:tr>
      <w:tr w:rsidR="00993DFA" w:rsidRPr="00985B97" w14:paraId="6232C6A2" w14:textId="77777777" w:rsidTr="003C2C7C">
        <w:trPr>
          <w:trHeight w:val="315"/>
          <w:jc w:val="center"/>
        </w:trPr>
        <w:tc>
          <w:tcPr>
            <w:tcW w:w="1438" w:type="dxa"/>
            <w:noWrap/>
            <w:hideMark/>
          </w:tcPr>
          <w:p w14:paraId="17D332FD"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Asia</w:t>
            </w:r>
          </w:p>
        </w:tc>
        <w:tc>
          <w:tcPr>
            <w:tcW w:w="1913" w:type="dxa"/>
            <w:noWrap/>
            <w:hideMark/>
          </w:tcPr>
          <w:p w14:paraId="1C57C152"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Filipinas</w:t>
            </w:r>
          </w:p>
        </w:tc>
        <w:tc>
          <w:tcPr>
            <w:tcW w:w="1682" w:type="dxa"/>
            <w:noWrap/>
            <w:hideMark/>
          </w:tcPr>
          <w:p w14:paraId="6DA01D1C"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62,78</w:t>
            </w:r>
          </w:p>
        </w:tc>
        <w:tc>
          <w:tcPr>
            <w:tcW w:w="1427" w:type="dxa"/>
            <w:noWrap/>
            <w:hideMark/>
          </w:tcPr>
          <w:p w14:paraId="3289AF76"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53,00</w:t>
            </w:r>
          </w:p>
        </w:tc>
        <w:tc>
          <w:tcPr>
            <w:tcW w:w="1680" w:type="dxa"/>
            <w:noWrap/>
            <w:hideMark/>
          </w:tcPr>
          <w:p w14:paraId="671D181C"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56,90</w:t>
            </w:r>
          </w:p>
        </w:tc>
      </w:tr>
      <w:tr w:rsidR="00993DFA" w:rsidRPr="00985B97" w14:paraId="0F6FE1F3" w14:textId="77777777" w:rsidTr="003C2C7C">
        <w:trPr>
          <w:trHeight w:val="315"/>
          <w:jc w:val="center"/>
        </w:trPr>
        <w:tc>
          <w:tcPr>
            <w:tcW w:w="1438" w:type="dxa"/>
            <w:noWrap/>
            <w:hideMark/>
          </w:tcPr>
          <w:p w14:paraId="50FB143C"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Asia</w:t>
            </w:r>
          </w:p>
        </w:tc>
        <w:tc>
          <w:tcPr>
            <w:tcW w:w="1913" w:type="dxa"/>
            <w:noWrap/>
            <w:hideMark/>
          </w:tcPr>
          <w:p w14:paraId="4B442467"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India</w:t>
            </w:r>
          </w:p>
        </w:tc>
        <w:tc>
          <w:tcPr>
            <w:tcW w:w="1682" w:type="dxa"/>
            <w:noWrap/>
            <w:hideMark/>
          </w:tcPr>
          <w:p w14:paraId="10355EC2"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61,31</w:t>
            </w:r>
          </w:p>
        </w:tc>
        <w:tc>
          <w:tcPr>
            <w:tcW w:w="1427" w:type="dxa"/>
            <w:noWrap/>
            <w:hideMark/>
          </w:tcPr>
          <w:p w14:paraId="6A80FC0F"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53,30</w:t>
            </w:r>
          </w:p>
        </w:tc>
        <w:tc>
          <w:tcPr>
            <w:tcW w:w="1680" w:type="dxa"/>
            <w:noWrap/>
            <w:hideMark/>
          </w:tcPr>
          <w:p w14:paraId="7152C581"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55,60</w:t>
            </w:r>
          </w:p>
        </w:tc>
      </w:tr>
      <w:tr w:rsidR="00993DFA" w:rsidRPr="00985B97" w14:paraId="3A0E0769" w14:textId="77777777" w:rsidTr="003C2C7C">
        <w:trPr>
          <w:trHeight w:val="315"/>
          <w:jc w:val="center"/>
        </w:trPr>
        <w:tc>
          <w:tcPr>
            <w:tcW w:w="1438" w:type="dxa"/>
            <w:noWrap/>
            <w:hideMark/>
          </w:tcPr>
          <w:p w14:paraId="523BD2F6"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Asia</w:t>
            </w:r>
          </w:p>
        </w:tc>
        <w:tc>
          <w:tcPr>
            <w:tcW w:w="1913" w:type="dxa"/>
            <w:noWrap/>
            <w:hideMark/>
          </w:tcPr>
          <w:p w14:paraId="5C18FD3C"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Corea del Sur</w:t>
            </w:r>
          </w:p>
        </w:tc>
        <w:tc>
          <w:tcPr>
            <w:tcW w:w="1682" w:type="dxa"/>
            <w:noWrap/>
            <w:hideMark/>
          </w:tcPr>
          <w:p w14:paraId="45B7C6C8"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23,32</w:t>
            </w:r>
          </w:p>
        </w:tc>
        <w:tc>
          <w:tcPr>
            <w:tcW w:w="1427" w:type="dxa"/>
            <w:noWrap/>
            <w:hideMark/>
          </w:tcPr>
          <w:p w14:paraId="3651B448"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62,80</w:t>
            </w:r>
          </w:p>
        </w:tc>
        <w:tc>
          <w:tcPr>
            <w:tcW w:w="1680" w:type="dxa"/>
            <w:noWrap/>
            <w:hideMark/>
          </w:tcPr>
          <w:p w14:paraId="777E0EE3"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73,10</w:t>
            </w:r>
          </w:p>
        </w:tc>
      </w:tr>
      <w:tr w:rsidR="00993DFA" w:rsidRPr="00985B97" w14:paraId="6CAD310F" w14:textId="77777777" w:rsidTr="003C2C7C">
        <w:trPr>
          <w:trHeight w:val="315"/>
          <w:jc w:val="center"/>
        </w:trPr>
        <w:tc>
          <w:tcPr>
            <w:tcW w:w="1438" w:type="dxa"/>
            <w:noWrap/>
            <w:hideMark/>
          </w:tcPr>
          <w:p w14:paraId="473F252E"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Asia</w:t>
            </w:r>
          </w:p>
        </w:tc>
        <w:tc>
          <w:tcPr>
            <w:tcW w:w="1913" w:type="dxa"/>
            <w:noWrap/>
            <w:hideMark/>
          </w:tcPr>
          <w:p w14:paraId="5C822DFA"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Pakistán</w:t>
            </w:r>
          </w:p>
        </w:tc>
        <w:tc>
          <w:tcPr>
            <w:tcW w:w="1682" w:type="dxa"/>
            <w:noWrap/>
            <w:hideMark/>
          </w:tcPr>
          <w:p w14:paraId="092AA89D"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64,43</w:t>
            </w:r>
          </w:p>
        </w:tc>
        <w:tc>
          <w:tcPr>
            <w:tcW w:w="1427" w:type="dxa"/>
            <w:noWrap/>
            <w:hideMark/>
          </w:tcPr>
          <w:p w14:paraId="44934BE1"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48,50</w:t>
            </w:r>
          </w:p>
        </w:tc>
        <w:tc>
          <w:tcPr>
            <w:tcW w:w="1680" w:type="dxa"/>
            <w:noWrap/>
            <w:hideMark/>
          </w:tcPr>
          <w:p w14:paraId="61D2BD18"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45,50</w:t>
            </w:r>
          </w:p>
        </w:tc>
      </w:tr>
      <w:tr w:rsidR="00993DFA" w:rsidRPr="00985B97" w14:paraId="374E2D0F" w14:textId="77777777" w:rsidTr="003C2C7C">
        <w:trPr>
          <w:trHeight w:val="315"/>
          <w:jc w:val="center"/>
        </w:trPr>
        <w:tc>
          <w:tcPr>
            <w:tcW w:w="1438" w:type="dxa"/>
            <w:noWrap/>
            <w:hideMark/>
          </w:tcPr>
          <w:p w14:paraId="4B400981"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Europa</w:t>
            </w:r>
          </w:p>
        </w:tc>
        <w:tc>
          <w:tcPr>
            <w:tcW w:w="1913" w:type="dxa"/>
            <w:noWrap/>
            <w:hideMark/>
          </w:tcPr>
          <w:p w14:paraId="72B979D8"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Dinamarca</w:t>
            </w:r>
          </w:p>
        </w:tc>
        <w:tc>
          <w:tcPr>
            <w:tcW w:w="1682" w:type="dxa"/>
            <w:noWrap/>
            <w:hideMark/>
          </w:tcPr>
          <w:p w14:paraId="50844775"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80,52</w:t>
            </w:r>
          </w:p>
        </w:tc>
        <w:tc>
          <w:tcPr>
            <w:tcW w:w="1427" w:type="dxa"/>
            <w:noWrap/>
            <w:hideMark/>
          </w:tcPr>
          <w:p w14:paraId="7DB6343C"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71,60</w:t>
            </w:r>
          </w:p>
        </w:tc>
        <w:tc>
          <w:tcPr>
            <w:tcW w:w="1680" w:type="dxa"/>
            <w:noWrap/>
            <w:hideMark/>
          </w:tcPr>
          <w:p w14:paraId="51FECEBE"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83,20</w:t>
            </w:r>
          </w:p>
        </w:tc>
      </w:tr>
      <w:tr w:rsidR="00993DFA" w:rsidRPr="00985B97" w14:paraId="57039EA0" w14:textId="77777777" w:rsidTr="003C2C7C">
        <w:trPr>
          <w:trHeight w:val="315"/>
          <w:jc w:val="center"/>
        </w:trPr>
        <w:tc>
          <w:tcPr>
            <w:tcW w:w="1438" w:type="dxa"/>
            <w:noWrap/>
            <w:hideMark/>
          </w:tcPr>
          <w:p w14:paraId="4D2370B7"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Europa</w:t>
            </w:r>
          </w:p>
        </w:tc>
        <w:tc>
          <w:tcPr>
            <w:tcW w:w="1913" w:type="dxa"/>
            <w:noWrap/>
            <w:hideMark/>
          </w:tcPr>
          <w:p w14:paraId="63A7F545"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Reino Unido</w:t>
            </w:r>
          </w:p>
        </w:tc>
        <w:tc>
          <w:tcPr>
            <w:tcW w:w="1682" w:type="dxa"/>
            <w:noWrap/>
            <w:hideMark/>
          </w:tcPr>
          <w:p w14:paraId="3D793B46"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70,80</w:t>
            </w:r>
          </w:p>
        </w:tc>
        <w:tc>
          <w:tcPr>
            <w:tcW w:w="1427" w:type="dxa"/>
            <w:noWrap/>
            <w:hideMark/>
          </w:tcPr>
          <w:p w14:paraId="6EE3B2C9"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66,80</w:t>
            </w:r>
          </w:p>
        </w:tc>
        <w:tc>
          <w:tcPr>
            <w:tcW w:w="1680" w:type="dxa"/>
            <w:noWrap/>
            <w:hideMark/>
          </w:tcPr>
          <w:p w14:paraId="304EB85D"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80,00</w:t>
            </w:r>
          </w:p>
        </w:tc>
      </w:tr>
      <w:tr w:rsidR="00993DFA" w:rsidRPr="00985B97" w14:paraId="5B61CAB1" w14:textId="77777777" w:rsidTr="003C2C7C">
        <w:trPr>
          <w:trHeight w:val="315"/>
          <w:jc w:val="center"/>
        </w:trPr>
        <w:tc>
          <w:tcPr>
            <w:tcW w:w="1438" w:type="dxa"/>
            <w:noWrap/>
            <w:hideMark/>
          </w:tcPr>
          <w:p w14:paraId="40E94DF8"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Europa</w:t>
            </w:r>
          </w:p>
        </w:tc>
        <w:tc>
          <w:tcPr>
            <w:tcW w:w="1913" w:type="dxa"/>
            <w:noWrap/>
            <w:hideMark/>
          </w:tcPr>
          <w:p w14:paraId="516107DF"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Luxemburgo</w:t>
            </w:r>
          </w:p>
        </w:tc>
        <w:tc>
          <w:tcPr>
            <w:tcW w:w="1682" w:type="dxa"/>
            <w:noWrap/>
            <w:hideMark/>
          </w:tcPr>
          <w:p w14:paraId="1277DB9E"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70,45</w:t>
            </w:r>
          </w:p>
        </w:tc>
        <w:tc>
          <w:tcPr>
            <w:tcW w:w="1427" w:type="dxa"/>
            <w:noWrap/>
            <w:hideMark/>
          </w:tcPr>
          <w:p w14:paraId="1B30FB91"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63,30</w:t>
            </w:r>
          </w:p>
        </w:tc>
        <w:tc>
          <w:tcPr>
            <w:tcW w:w="1680" w:type="dxa"/>
            <w:noWrap/>
            <w:hideMark/>
          </w:tcPr>
          <w:p w14:paraId="412FA1DF"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77,30</w:t>
            </w:r>
          </w:p>
        </w:tc>
      </w:tr>
      <w:tr w:rsidR="00993DFA" w:rsidRPr="00985B97" w14:paraId="0C3F938C" w14:textId="77777777" w:rsidTr="003C2C7C">
        <w:trPr>
          <w:trHeight w:val="315"/>
          <w:jc w:val="center"/>
        </w:trPr>
        <w:tc>
          <w:tcPr>
            <w:tcW w:w="1438" w:type="dxa"/>
            <w:noWrap/>
            <w:hideMark/>
          </w:tcPr>
          <w:p w14:paraId="51A9CA9B"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Europa</w:t>
            </w:r>
          </w:p>
        </w:tc>
        <w:tc>
          <w:tcPr>
            <w:tcW w:w="1913" w:type="dxa"/>
            <w:noWrap/>
            <w:hideMark/>
          </w:tcPr>
          <w:p w14:paraId="79CE8222"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Suecia</w:t>
            </w:r>
          </w:p>
        </w:tc>
        <w:tc>
          <w:tcPr>
            <w:tcW w:w="1682" w:type="dxa"/>
            <w:noWrap/>
            <w:hideMark/>
          </w:tcPr>
          <w:p w14:paraId="02634CCA"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64,91</w:t>
            </w:r>
          </w:p>
        </w:tc>
        <w:tc>
          <w:tcPr>
            <w:tcW w:w="1427" w:type="dxa"/>
            <w:noWrap/>
            <w:hideMark/>
          </w:tcPr>
          <w:p w14:paraId="36858D5E"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77,50</w:t>
            </w:r>
          </w:p>
        </w:tc>
        <w:tc>
          <w:tcPr>
            <w:tcW w:w="1680" w:type="dxa"/>
            <w:noWrap/>
            <w:hideMark/>
          </w:tcPr>
          <w:p w14:paraId="3C8D1A87"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83,10</w:t>
            </w:r>
          </w:p>
        </w:tc>
      </w:tr>
      <w:tr w:rsidR="00993DFA" w:rsidRPr="00985B97" w14:paraId="6E544ED2" w14:textId="77777777" w:rsidTr="003C2C7C">
        <w:trPr>
          <w:trHeight w:val="315"/>
          <w:jc w:val="center"/>
        </w:trPr>
        <w:tc>
          <w:tcPr>
            <w:tcW w:w="1438" w:type="dxa"/>
            <w:noWrap/>
            <w:hideMark/>
          </w:tcPr>
          <w:p w14:paraId="7E0C27EA"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Europa</w:t>
            </w:r>
          </w:p>
        </w:tc>
        <w:tc>
          <w:tcPr>
            <w:tcW w:w="1913" w:type="dxa"/>
            <w:noWrap/>
            <w:hideMark/>
          </w:tcPr>
          <w:p w14:paraId="336435D8"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Finlandia</w:t>
            </w:r>
          </w:p>
        </w:tc>
        <w:tc>
          <w:tcPr>
            <w:tcW w:w="1682" w:type="dxa"/>
            <w:noWrap/>
            <w:hideMark/>
          </w:tcPr>
          <w:p w14:paraId="2672606F"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57,95</w:t>
            </w:r>
          </w:p>
        </w:tc>
        <w:tc>
          <w:tcPr>
            <w:tcW w:w="1427" w:type="dxa"/>
            <w:noWrap/>
            <w:hideMark/>
          </w:tcPr>
          <w:p w14:paraId="0CEA4850"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74,80</w:t>
            </w:r>
          </w:p>
        </w:tc>
        <w:tc>
          <w:tcPr>
            <w:tcW w:w="1680" w:type="dxa"/>
            <w:noWrap/>
            <w:hideMark/>
          </w:tcPr>
          <w:p w14:paraId="12E4CB34"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82,70</w:t>
            </w:r>
          </w:p>
        </w:tc>
      </w:tr>
      <w:tr w:rsidR="00993DFA" w:rsidRPr="00985B97" w14:paraId="3A4321C9" w14:textId="77777777" w:rsidTr="003C2C7C">
        <w:trPr>
          <w:trHeight w:val="315"/>
          <w:jc w:val="center"/>
        </w:trPr>
        <w:tc>
          <w:tcPr>
            <w:tcW w:w="1438" w:type="dxa"/>
            <w:noWrap/>
            <w:hideMark/>
          </w:tcPr>
          <w:p w14:paraId="3360D2B0"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América</w:t>
            </w:r>
          </w:p>
        </w:tc>
        <w:tc>
          <w:tcPr>
            <w:tcW w:w="1913" w:type="dxa"/>
            <w:noWrap/>
            <w:hideMark/>
          </w:tcPr>
          <w:p w14:paraId="247F8248"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Uruguay</w:t>
            </w:r>
          </w:p>
        </w:tc>
        <w:tc>
          <w:tcPr>
            <w:tcW w:w="1682" w:type="dxa"/>
            <w:noWrap/>
            <w:hideMark/>
          </w:tcPr>
          <w:p w14:paraId="4AB5BD8D"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w:t>
            </w:r>
          </w:p>
        </w:tc>
        <w:tc>
          <w:tcPr>
            <w:tcW w:w="1427" w:type="dxa"/>
            <w:noWrap/>
            <w:hideMark/>
          </w:tcPr>
          <w:p w14:paraId="3935A94F"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62,50</w:t>
            </w:r>
          </w:p>
        </w:tc>
        <w:tc>
          <w:tcPr>
            <w:tcW w:w="1680" w:type="dxa"/>
            <w:noWrap/>
            <w:hideMark/>
          </w:tcPr>
          <w:p w14:paraId="5AAD026E"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75,90</w:t>
            </w:r>
          </w:p>
        </w:tc>
      </w:tr>
      <w:tr w:rsidR="00993DFA" w:rsidRPr="00985B97" w14:paraId="4E2B487C" w14:textId="77777777" w:rsidTr="003C2C7C">
        <w:trPr>
          <w:trHeight w:val="315"/>
          <w:jc w:val="center"/>
        </w:trPr>
        <w:tc>
          <w:tcPr>
            <w:tcW w:w="1438" w:type="dxa"/>
            <w:noWrap/>
            <w:hideMark/>
          </w:tcPr>
          <w:p w14:paraId="3C73DE1B"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América</w:t>
            </w:r>
          </w:p>
        </w:tc>
        <w:tc>
          <w:tcPr>
            <w:tcW w:w="1913" w:type="dxa"/>
            <w:noWrap/>
            <w:hideMark/>
          </w:tcPr>
          <w:p w14:paraId="441C9397"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Chile</w:t>
            </w:r>
          </w:p>
        </w:tc>
        <w:tc>
          <w:tcPr>
            <w:tcW w:w="1682" w:type="dxa"/>
            <w:noWrap/>
            <w:hideMark/>
          </w:tcPr>
          <w:p w14:paraId="1756E345"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70,63</w:t>
            </w:r>
          </w:p>
        </w:tc>
        <w:tc>
          <w:tcPr>
            <w:tcW w:w="1427" w:type="dxa"/>
            <w:noWrap/>
            <w:hideMark/>
          </w:tcPr>
          <w:p w14:paraId="7B59989E"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65,70</w:t>
            </w:r>
          </w:p>
        </w:tc>
        <w:tc>
          <w:tcPr>
            <w:tcW w:w="1680" w:type="dxa"/>
            <w:noWrap/>
            <w:hideMark/>
          </w:tcPr>
          <w:p w14:paraId="3740DB56"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70,20</w:t>
            </w:r>
          </w:p>
        </w:tc>
      </w:tr>
      <w:tr w:rsidR="00993DFA" w:rsidRPr="00985B97" w14:paraId="2E2FCF16" w14:textId="77777777" w:rsidTr="003C2C7C">
        <w:trPr>
          <w:trHeight w:val="315"/>
          <w:jc w:val="center"/>
        </w:trPr>
        <w:tc>
          <w:tcPr>
            <w:tcW w:w="1438" w:type="dxa"/>
            <w:noWrap/>
            <w:hideMark/>
          </w:tcPr>
          <w:p w14:paraId="6D889982"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América</w:t>
            </w:r>
          </w:p>
        </w:tc>
        <w:tc>
          <w:tcPr>
            <w:tcW w:w="1913" w:type="dxa"/>
            <w:noWrap/>
            <w:hideMark/>
          </w:tcPr>
          <w:p w14:paraId="2C75EF9D"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Brasil</w:t>
            </w:r>
          </w:p>
        </w:tc>
        <w:tc>
          <w:tcPr>
            <w:tcW w:w="1682" w:type="dxa"/>
            <w:noWrap/>
            <w:hideMark/>
          </w:tcPr>
          <w:p w14:paraId="4376165A"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58,21</w:t>
            </w:r>
          </w:p>
        </w:tc>
        <w:tc>
          <w:tcPr>
            <w:tcW w:w="1427" w:type="dxa"/>
            <w:noWrap/>
            <w:hideMark/>
          </w:tcPr>
          <w:p w14:paraId="24445D01"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67,00</w:t>
            </w:r>
          </w:p>
        </w:tc>
        <w:tc>
          <w:tcPr>
            <w:tcW w:w="1680" w:type="dxa"/>
            <w:noWrap/>
            <w:hideMark/>
          </w:tcPr>
          <w:p w14:paraId="6DB0AED3"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68,30</w:t>
            </w:r>
          </w:p>
        </w:tc>
      </w:tr>
      <w:tr w:rsidR="00993DFA" w:rsidRPr="00985B97" w14:paraId="375F1BF5" w14:textId="77777777" w:rsidTr="003C2C7C">
        <w:trPr>
          <w:trHeight w:val="315"/>
          <w:jc w:val="center"/>
        </w:trPr>
        <w:tc>
          <w:tcPr>
            <w:tcW w:w="1438" w:type="dxa"/>
            <w:noWrap/>
            <w:hideMark/>
          </w:tcPr>
          <w:p w14:paraId="7B285156"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América</w:t>
            </w:r>
          </w:p>
        </w:tc>
        <w:tc>
          <w:tcPr>
            <w:tcW w:w="1913" w:type="dxa"/>
            <w:noWrap/>
            <w:hideMark/>
          </w:tcPr>
          <w:p w14:paraId="54C541FB"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México</w:t>
            </w:r>
          </w:p>
        </w:tc>
        <w:tc>
          <w:tcPr>
            <w:tcW w:w="1682" w:type="dxa"/>
            <w:noWrap/>
            <w:hideMark/>
          </w:tcPr>
          <w:p w14:paraId="2E813032"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57,24</w:t>
            </w:r>
          </w:p>
        </w:tc>
        <w:tc>
          <w:tcPr>
            <w:tcW w:w="1427" w:type="dxa"/>
            <w:noWrap/>
            <w:hideMark/>
          </w:tcPr>
          <w:p w14:paraId="2D22CB3A"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56,00</w:t>
            </w:r>
          </w:p>
        </w:tc>
        <w:tc>
          <w:tcPr>
            <w:tcW w:w="1680" w:type="dxa"/>
            <w:noWrap/>
            <w:hideMark/>
          </w:tcPr>
          <w:p w14:paraId="2ADB3A7A"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63,60</w:t>
            </w:r>
          </w:p>
        </w:tc>
      </w:tr>
      <w:tr w:rsidR="00993DFA" w:rsidRPr="00985B97" w14:paraId="689EFE5C" w14:textId="77777777" w:rsidTr="003C2C7C">
        <w:trPr>
          <w:trHeight w:val="315"/>
          <w:jc w:val="center"/>
        </w:trPr>
        <w:tc>
          <w:tcPr>
            <w:tcW w:w="1438" w:type="dxa"/>
            <w:noWrap/>
            <w:hideMark/>
          </w:tcPr>
          <w:p w14:paraId="56C06456"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América</w:t>
            </w:r>
          </w:p>
        </w:tc>
        <w:tc>
          <w:tcPr>
            <w:tcW w:w="1913" w:type="dxa"/>
            <w:noWrap/>
            <w:hideMark/>
          </w:tcPr>
          <w:p w14:paraId="2DD62B62"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Canadá</w:t>
            </w:r>
          </w:p>
        </w:tc>
        <w:tc>
          <w:tcPr>
            <w:tcW w:w="1682" w:type="dxa"/>
            <w:noWrap/>
            <w:hideMark/>
          </w:tcPr>
          <w:p w14:paraId="0C4B16E9"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28,30</w:t>
            </w:r>
          </w:p>
        </w:tc>
        <w:tc>
          <w:tcPr>
            <w:tcW w:w="1427" w:type="dxa"/>
            <w:noWrap/>
            <w:hideMark/>
          </w:tcPr>
          <w:p w14:paraId="37BAA6FC"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62,80</w:t>
            </w:r>
          </w:p>
        </w:tc>
        <w:tc>
          <w:tcPr>
            <w:tcW w:w="1680" w:type="dxa"/>
            <w:noWrap/>
            <w:hideMark/>
          </w:tcPr>
          <w:p w14:paraId="0EA4F02F"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81,00</w:t>
            </w:r>
          </w:p>
        </w:tc>
      </w:tr>
      <w:tr w:rsidR="00993DFA" w:rsidRPr="00985B97" w14:paraId="30CF8E5E" w14:textId="77777777" w:rsidTr="003C2C7C">
        <w:trPr>
          <w:trHeight w:val="315"/>
          <w:jc w:val="center"/>
        </w:trPr>
        <w:tc>
          <w:tcPr>
            <w:tcW w:w="1438" w:type="dxa"/>
            <w:noWrap/>
            <w:hideMark/>
          </w:tcPr>
          <w:p w14:paraId="3690ED9C"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América</w:t>
            </w:r>
          </w:p>
        </w:tc>
        <w:tc>
          <w:tcPr>
            <w:tcW w:w="1913" w:type="dxa"/>
            <w:noWrap/>
            <w:hideMark/>
          </w:tcPr>
          <w:p w14:paraId="70F83982"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Estados Unidos</w:t>
            </w:r>
          </w:p>
        </w:tc>
        <w:tc>
          <w:tcPr>
            <w:tcW w:w="1682" w:type="dxa"/>
            <w:noWrap/>
            <w:hideMark/>
          </w:tcPr>
          <w:p w14:paraId="7DC32722"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21,84</w:t>
            </w:r>
          </w:p>
        </w:tc>
        <w:tc>
          <w:tcPr>
            <w:tcW w:w="1427" w:type="dxa"/>
            <w:noWrap/>
            <w:hideMark/>
          </w:tcPr>
          <w:p w14:paraId="42C14DBF"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66,80</w:t>
            </w:r>
          </w:p>
        </w:tc>
        <w:tc>
          <w:tcPr>
            <w:tcW w:w="1680" w:type="dxa"/>
            <w:noWrap/>
            <w:hideMark/>
          </w:tcPr>
          <w:p w14:paraId="0CD05EBF"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78,90</w:t>
            </w:r>
          </w:p>
        </w:tc>
      </w:tr>
      <w:tr w:rsidR="00993DFA" w:rsidRPr="00985B97" w14:paraId="53A43C0C" w14:textId="77777777" w:rsidTr="003C2C7C">
        <w:trPr>
          <w:trHeight w:val="315"/>
          <w:jc w:val="center"/>
        </w:trPr>
        <w:tc>
          <w:tcPr>
            <w:tcW w:w="1438" w:type="dxa"/>
            <w:noWrap/>
            <w:hideMark/>
          </w:tcPr>
          <w:p w14:paraId="259582D8"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Oceanía</w:t>
            </w:r>
          </w:p>
        </w:tc>
        <w:tc>
          <w:tcPr>
            <w:tcW w:w="1913" w:type="dxa"/>
            <w:noWrap/>
            <w:hideMark/>
          </w:tcPr>
          <w:p w14:paraId="73C95203"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Nueva Zelanda</w:t>
            </w:r>
          </w:p>
        </w:tc>
        <w:tc>
          <w:tcPr>
            <w:tcW w:w="1682" w:type="dxa"/>
            <w:noWrap/>
            <w:hideMark/>
          </w:tcPr>
          <w:p w14:paraId="0D5C2A1D"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50,71</w:t>
            </w:r>
          </w:p>
        </w:tc>
        <w:tc>
          <w:tcPr>
            <w:tcW w:w="1427" w:type="dxa"/>
            <w:noWrap/>
            <w:hideMark/>
          </w:tcPr>
          <w:p w14:paraId="23C8591A"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64,90</w:t>
            </w:r>
          </w:p>
        </w:tc>
        <w:tc>
          <w:tcPr>
            <w:tcW w:w="1680" w:type="dxa"/>
            <w:noWrap/>
            <w:hideMark/>
          </w:tcPr>
          <w:p w14:paraId="580F079F"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79,60</w:t>
            </w:r>
          </w:p>
        </w:tc>
      </w:tr>
      <w:tr w:rsidR="00993DFA" w:rsidRPr="00985B97" w14:paraId="02963665" w14:textId="77777777" w:rsidTr="003C2C7C">
        <w:trPr>
          <w:trHeight w:val="315"/>
          <w:jc w:val="center"/>
        </w:trPr>
        <w:tc>
          <w:tcPr>
            <w:tcW w:w="1438" w:type="dxa"/>
            <w:noWrap/>
            <w:hideMark/>
          </w:tcPr>
          <w:p w14:paraId="5EA077AB"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Oceanía</w:t>
            </w:r>
          </w:p>
        </w:tc>
        <w:tc>
          <w:tcPr>
            <w:tcW w:w="1913" w:type="dxa"/>
            <w:noWrap/>
            <w:hideMark/>
          </w:tcPr>
          <w:p w14:paraId="4D1BB6C2"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Australia</w:t>
            </w:r>
          </w:p>
        </w:tc>
        <w:tc>
          <w:tcPr>
            <w:tcW w:w="1682" w:type="dxa"/>
            <w:noWrap/>
            <w:hideMark/>
          </w:tcPr>
          <w:p w14:paraId="3B3F0FF0"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55,05</w:t>
            </w:r>
          </w:p>
        </w:tc>
        <w:tc>
          <w:tcPr>
            <w:tcW w:w="1427" w:type="dxa"/>
            <w:noWrap/>
            <w:hideMark/>
          </w:tcPr>
          <w:p w14:paraId="7D532D65"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63,00</w:t>
            </w:r>
          </w:p>
        </w:tc>
        <w:tc>
          <w:tcPr>
            <w:tcW w:w="1680" w:type="dxa"/>
            <w:noWrap/>
            <w:hideMark/>
          </w:tcPr>
          <w:p w14:paraId="7B017945" w14:textId="77777777" w:rsidR="00993DFA" w:rsidRPr="00985B97" w:rsidRDefault="00993DFA" w:rsidP="00985B97">
            <w:pPr>
              <w:jc w:val="both"/>
              <w:rPr>
                <w:rFonts w:asciiTheme="majorHAnsi" w:hAnsiTheme="majorHAnsi" w:cstheme="majorHAnsi"/>
              </w:rPr>
            </w:pPr>
            <w:r w:rsidRPr="00985B97">
              <w:rPr>
                <w:rFonts w:asciiTheme="majorHAnsi" w:hAnsiTheme="majorHAnsi" w:cstheme="majorHAnsi"/>
              </w:rPr>
              <w:t>75,70</w:t>
            </w:r>
          </w:p>
        </w:tc>
      </w:tr>
    </w:tbl>
    <w:p w14:paraId="57B16A93" w14:textId="77777777" w:rsidR="00993DFA" w:rsidRPr="00985B97" w:rsidRDefault="00993DFA" w:rsidP="00985B97">
      <w:pPr>
        <w:jc w:val="both"/>
        <w:rPr>
          <w:rFonts w:asciiTheme="majorHAnsi" w:hAnsiTheme="majorHAnsi" w:cstheme="majorHAnsi"/>
          <w:lang w:val="es-ES"/>
        </w:rPr>
      </w:pPr>
      <w:r w:rsidRPr="00985B97">
        <w:rPr>
          <w:rFonts w:asciiTheme="majorHAnsi" w:hAnsiTheme="majorHAnsi" w:cstheme="majorHAnsi"/>
          <w:lang w:val="es-ES"/>
        </w:rPr>
        <w:t>Fuente: elaboración propia.</w:t>
      </w:r>
    </w:p>
    <w:p w14:paraId="07E5FC0C" w14:textId="77777777" w:rsidR="00A86834" w:rsidRDefault="00993DFA" w:rsidP="00985B97">
      <w:pPr>
        <w:jc w:val="both"/>
        <w:rPr>
          <w:rFonts w:asciiTheme="majorHAnsi" w:hAnsiTheme="majorHAnsi" w:cstheme="majorHAnsi"/>
        </w:rPr>
        <w:sectPr w:rsidR="00A86834">
          <w:pgSz w:w="12240" w:h="15840"/>
          <w:pgMar w:top="1991" w:right="1418" w:bottom="1588" w:left="1418" w:header="573" w:footer="1531" w:gutter="0"/>
          <w:pgNumType w:start="1"/>
          <w:cols w:space="720"/>
        </w:sectPr>
      </w:pPr>
      <w:r w:rsidRPr="00985B97">
        <w:rPr>
          <w:rFonts w:asciiTheme="majorHAnsi" w:hAnsiTheme="majorHAnsi" w:cstheme="majorHAnsi"/>
          <w:lang w:val="es-ES"/>
        </w:rPr>
        <w:t>L</w:t>
      </w:r>
      <w:r w:rsidRPr="00985B97">
        <w:rPr>
          <w:rFonts w:asciiTheme="majorHAnsi" w:hAnsiTheme="majorHAnsi" w:cstheme="majorHAnsi"/>
        </w:rPr>
        <w:t xml:space="preserve">a selección definitiva de los países se realizará con base en criterios operativos y analíticos que aseguren la solidez, pertinencia y viabilidad del ejercicio comparado. Entre ellos se considerarán, además de su desempeño y relevancia en materia de transición energética, la disponibilidad, calidad, actualidad y trazabilidad de la información pública; el acceso a documentos oficiales, marcos normativos e </w:t>
      </w:r>
      <w:r w:rsidRPr="00985B97">
        <w:rPr>
          <w:rFonts w:asciiTheme="majorHAnsi" w:hAnsiTheme="majorHAnsi" w:cstheme="majorHAnsi"/>
        </w:rPr>
        <w:lastRenderedPageBreak/>
        <w:t>instrumentos de política; la comparabilidad institucional, fiscal y sectorial con el caso de estudio; la existencia de evaluaciones, lecciones aprendidas y evidencia sobre resultados; así como la posibilidad de identificar experiencias suficientemente documentadas que permitan extraer aprendizajes útiles y recomendaciones aplicables a futuro en materia de transición energética justa.</w:t>
      </w:r>
    </w:p>
    <w:p w14:paraId="4C5277D9" w14:textId="10CF9DD0" w:rsidR="00993DFA" w:rsidRPr="00985B97" w:rsidRDefault="00993DFA" w:rsidP="00985B97">
      <w:pPr>
        <w:jc w:val="both"/>
        <w:rPr>
          <w:rFonts w:asciiTheme="majorHAnsi" w:hAnsiTheme="majorHAnsi" w:cstheme="majorHAnsi"/>
          <w:lang w:val="es-ES"/>
        </w:rPr>
      </w:pPr>
    </w:p>
    <w:p w14:paraId="12CCA6A3" w14:textId="77777777" w:rsidR="00993DFA" w:rsidRPr="00196FBD" w:rsidRDefault="00993DFA" w:rsidP="00993DFA">
      <w:pPr>
        <w:jc w:val="both"/>
        <w:rPr>
          <w:sz w:val="24"/>
          <w:szCs w:val="24"/>
        </w:rPr>
      </w:pPr>
    </w:p>
    <w:p w14:paraId="502176C8" w14:textId="77777777" w:rsidR="00993DFA" w:rsidRPr="00EF4AC0" w:rsidRDefault="00993DFA" w:rsidP="00993DFA">
      <w:pPr>
        <w:jc w:val="both"/>
        <w:rPr>
          <w:sz w:val="24"/>
          <w:szCs w:val="24"/>
        </w:rPr>
      </w:pPr>
    </w:p>
    <w:p w14:paraId="2ED6C002" w14:textId="77777777" w:rsidR="00993DFA" w:rsidRPr="00196FBD" w:rsidRDefault="00993DFA" w:rsidP="00993DFA">
      <w:pPr>
        <w:jc w:val="both"/>
        <w:rPr>
          <w:sz w:val="24"/>
          <w:szCs w:val="24"/>
        </w:rPr>
      </w:pPr>
    </w:p>
    <w:p w14:paraId="7F90CF09" w14:textId="77777777" w:rsidR="00F37424" w:rsidRDefault="00993DFA" w:rsidP="00F37424">
      <w:pPr>
        <w:jc w:val="both"/>
      </w:pPr>
      <w:r w:rsidRPr="00993DFA">
        <w:tab/>
      </w:r>
    </w:p>
    <w:p w14:paraId="23BF9816" w14:textId="2E9F24B3" w:rsidR="009131EC" w:rsidRDefault="009131EC" w:rsidP="00F37424">
      <w:pPr>
        <w:jc w:val="both"/>
      </w:pPr>
    </w:p>
    <w:p w14:paraId="2A4FA0F3" w14:textId="77777777" w:rsidR="00A86834" w:rsidRPr="00993DFA" w:rsidRDefault="00A86834" w:rsidP="00F37424">
      <w:pPr>
        <w:jc w:val="both"/>
      </w:pPr>
    </w:p>
    <w:p w14:paraId="083A3E84" w14:textId="77777777" w:rsidR="00F37424" w:rsidRDefault="00F37424" w:rsidP="00CD660F">
      <w:pPr>
        <w:rPr>
          <w:rFonts w:asciiTheme="majorHAnsi" w:hAnsiTheme="majorHAnsi" w:cstheme="majorHAnsi"/>
          <w:b/>
          <w:bCs/>
          <w:color w:val="D49E21"/>
          <w:sz w:val="52"/>
          <w:szCs w:val="52"/>
        </w:rPr>
      </w:pPr>
    </w:p>
    <w:p w14:paraId="1A0E38A0" w14:textId="77777777" w:rsidR="00A86834" w:rsidRDefault="006245F7" w:rsidP="00CD0C90">
      <w:pPr>
        <w:jc w:val="center"/>
        <w:rPr>
          <w:rFonts w:asciiTheme="majorHAnsi" w:hAnsiTheme="majorHAnsi" w:cstheme="majorHAnsi"/>
          <w:b/>
          <w:bCs/>
          <w:color w:val="D49E21"/>
          <w:sz w:val="96"/>
          <w:szCs w:val="96"/>
        </w:rPr>
        <w:sectPr w:rsidR="00A86834">
          <w:pgSz w:w="12240" w:h="15840"/>
          <w:pgMar w:top="1991" w:right="1418" w:bottom="1588" w:left="1418" w:header="573" w:footer="1531" w:gutter="0"/>
          <w:pgNumType w:start="1"/>
          <w:cols w:space="720"/>
        </w:sectPr>
      </w:pPr>
      <w:bookmarkStart w:id="115" w:name="BM_EjeLegislativo"/>
      <w:r w:rsidRPr="00F24A71">
        <w:rPr>
          <w:rFonts w:asciiTheme="majorHAnsi" w:hAnsiTheme="majorHAnsi" w:cstheme="majorHAnsi"/>
          <w:b/>
          <w:bCs/>
          <w:color w:val="D49E21"/>
          <w:sz w:val="96"/>
          <w:szCs w:val="96"/>
        </w:rPr>
        <w:t>EJE LEGISLATIVO</w:t>
      </w:r>
      <w:bookmarkEnd w:id="115"/>
    </w:p>
    <w:p w14:paraId="7EE093D0" w14:textId="77777777" w:rsidR="00E33FDE" w:rsidRDefault="00C72D7D" w:rsidP="00A86834">
      <w:pPr>
        <w:pStyle w:val="TtuloTDC"/>
      </w:pPr>
      <w:r>
        <w:lastRenderedPageBreak/>
        <w:t>Contenido</w:t>
      </w:r>
    </w:p>
    <w:p w14:paraId="08938402" w14:textId="77777777" w:rsidR="00E33FDE" w:rsidRDefault="00C72D7D">
      <w:pPr>
        <w:pStyle w:val="TDC1"/>
        <w:tabs>
          <w:tab w:val="right" w:leader="dot" w:pos="9394"/>
        </w:tabs>
        <w:rPr>
          <w:noProof/>
        </w:rPr>
      </w:pPr>
      <w:hyperlink w:anchor="_Toc235092545" w:history="1">
        <w:r>
          <w:rPr>
            <w:rStyle w:val="Hipervnculo"/>
            <w:noProof/>
          </w:rPr>
          <w:t>Introducción</w:t>
        </w:r>
        <w:r>
          <w:rPr>
            <w:noProof/>
          </w:rPr>
          <w:tab/>
        </w:r>
        <w:r>
          <w:rPr>
            <w:noProof/>
          </w:rPr>
          <w:fldChar w:fldCharType="begin" w:fldLock="1"/>
        </w:r>
        <w:r>
          <w:rPr>
            <w:noProof/>
          </w:rPr>
          <w:instrText xml:space="preserve"> PAGEREF _Toc235092545 \h </w:instrText>
        </w:r>
        <w:r>
          <w:rPr>
            <w:noProof/>
          </w:rPr>
        </w:r>
        <w:r>
          <w:rPr>
            <w:noProof/>
          </w:rPr>
          <w:fldChar w:fldCharType="separate"/>
        </w:r>
        <w:r>
          <w:rPr>
            <w:noProof/>
          </w:rPr>
          <w:t>92</w:t>
        </w:r>
        <w:r>
          <w:rPr>
            <w:noProof/>
          </w:rPr>
          <w:fldChar w:fldCharType="end"/>
        </w:r>
      </w:hyperlink>
    </w:p>
    <w:p w14:paraId="1E3BF481" w14:textId="77777777" w:rsidR="00E33FDE" w:rsidRDefault="00C72D7D">
      <w:pPr>
        <w:pStyle w:val="TDC1"/>
        <w:tabs>
          <w:tab w:val="right" w:leader="dot" w:pos="9394"/>
        </w:tabs>
        <w:rPr>
          <w:noProof/>
        </w:rPr>
      </w:pPr>
      <w:hyperlink w:anchor="_Toc235092546" w:history="1">
        <w:r>
          <w:rPr>
            <w:rStyle w:val="Hipervnculo"/>
            <w:noProof/>
          </w:rPr>
          <w:t>Marco teórico</w:t>
        </w:r>
        <w:r>
          <w:rPr>
            <w:noProof/>
          </w:rPr>
          <w:tab/>
        </w:r>
        <w:r>
          <w:rPr>
            <w:noProof/>
          </w:rPr>
          <w:fldChar w:fldCharType="begin" w:fldLock="1"/>
        </w:r>
        <w:r>
          <w:rPr>
            <w:noProof/>
          </w:rPr>
          <w:instrText xml:space="preserve"> PAGEREF _Toc235092546 \h </w:instrText>
        </w:r>
        <w:r>
          <w:rPr>
            <w:noProof/>
          </w:rPr>
        </w:r>
        <w:r>
          <w:rPr>
            <w:noProof/>
          </w:rPr>
          <w:fldChar w:fldCharType="separate"/>
        </w:r>
        <w:r>
          <w:rPr>
            <w:noProof/>
          </w:rPr>
          <w:t>93</w:t>
        </w:r>
        <w:r>
          <w:rPr>
            <w:noProof/>
          </w:rPr>
          <w:fldChar w:fldCharType="end"/>
        </w:r>
      </w:hyperlink>
    </w:p>
    <w:p w14:paraId="7D1FC00B" w14:textId="77777777" w:rsidR="00E33FDE" w:rsidRDefault="00C72D7D">
      <w:pPr>
        <w:pStyle w:val="TDC1"/>
        <w:tabs>
          <w:tab w:val="right" w:leader="dot" w:pos="9394"/>
        </w:tabs>
        <w:rPr>
          <w:noProof/>
        </w:rPr>
      </w:pPr>
      <w:hyperlink w:anchor="_Toc235092551" w:history="1">
        <w:r>
          <w:rPr>
            <w:rStyle w:val="Hipervnculo"/>
            <w:noProof/>
          </w:rPr>
          <w:t>Marco conceptual</w:t>
        </w:r>
        <w:r>
          <w:rPr>
            <w:noProof/>
          </w:rPr>
          <w:tab/>
        </w:r>
        <w:r>
          <w:rPr>
            <w:noProof/>
          </w:rPr>
          <w:fldChar w:fldCharType="begin" w:fldLock="1"/>
        </w:r>
        <w:r>
          <w:rPr>
            <w:noProof/>
          </w:rPr>
          <w:instrText xml:space="preserve"> PAGEREF _Toc235092551 \h </w:instrText>
        </w:r>
        <w:r>
          <w:rPr>
            <w:noProof/>
          </w:rPr>
        </w:r>
        <w:r>
          <w:rPr>
            <w:noProof/>
          </w:rPr>
          <w:fldChar w:fldCharType="separate"/>
        </w:r>
        <w:r>
          <w:rPr>
            <w:noProof/>
          </w:rPr>
          <w:t>102</w:t>
        </w:r>
        <w:r>
          <w:rPr>
            <w:noProof/>
          </w:rPr>
          <w:fldChar w:fldCharType="end"/>
        </w:r>
      </w:hyperlink>
    </w:p>
    <w:p w14:paraId="46175544" w14:textId="77777777" w:rsidR="00E33FDE" w:rsidRDefault="00C72D7D">
      <w:pPr>
        <w:pStyle w:val="TDC1"/>
        <w:tabs>
          <w:tab w:val="right" w:leader="dot" w:pos="9394"/>
        </w:tabs>
        <w:rPr>
          <w:noProof/>
        </w:rPr>
      </w:pPr>
      <w:hyperlink w:anchor="_Toc235092552" w:history="1">
        <w:r>
          <w:rPr>
            <w:rStyle w:val="Hipervnculo"/>
            <w:noProof/>
          </w:rPr>
          <w:t>Marco normativo</w:t>
        </w:r>
        <w:r>
          <w:rPr>
            <w:noProof/>
          </w:rPr>
          <w:tab/>
        </w:r>
        <w:r>
          <w:rPr>
            <w:noProof/>
          </w:rPr>
          <w:fldChar w:fldCharType="begin" w:fldLock="1"/>
        </w:r>
        <w:r>
          <w:rPr>
            <w:noProof/>
          </w:rPr>
          <w:instrText xml:space="preserve"> PAGEREF _Toc235092552 \h </w:instrText>
        </w:r>
        <w:r>
          <w:rPr>
            <w:noProof/>
          </w:rPr>
        </w:r>
        <w:r>
          <w:rPr>
            <w:noProof/>
          </w:rPr>
          <w:fldChar w:fldCharType="separate"/>
        </w:r>
        <w:r>
          <w:rPr>
            <w:noProof/>
          </w:rPr>
          <w:t>105</w:t>
        </w:r>
        <w:r>
          <w:rPr>
            <w:noProof/>
          </w:rPr>
          <w:fldChar w:fldCharType="end"/>
        </w:r>
      </w:hyperlink>
    </w:p>
    <w:p w14:paraId="082EE181" w14:textId="77777777" w:rsidR="00E33FDE" w:rsidRDefault="00C72D7D">
      <w:pPr>
        <w:pStyle w:val="TDC1"/>
        <w:tabs>
          <w:tab w:val="right" w:leader="dot" w:pos="9394"/>
        </w:tabs>
        <w:rPr>
          <w:noProof/>
        </w:rPr>
      </w:pPr>
      <w:hyperlink w:anchor="_Toc235092553" w:history="1">
        <w:r>
          <w:rPr>
            <w:rStyle w:val="Hipervnculo"/>
            <w:noProof/>
          </w:rPr>
          <w:t>Justificación</w:t>
        </w:r>
        <w:r>
          <w:rPr>
            <w:noProof/>
          </w:rPr>
          <w:tab/>
        </w:r>
        <w:r>
          <w:rPr>
            <w:noProof/>
          </w:rPr>
          <w:fldChar w:fldCharType="begin" w:fldLock="1"/>
        </w:r>
        <w:r>
          <w:rPr>
            <w:noProof/>
          </w:rPr>
          <w:instrText xml:space="preserve"> PAGEREF _Toc235092553 \h </w:instrText>
        </w:r>
        <w:r>
          <w:rPr>
            <w:noProof/>
          </w:rPr>
        </w:r>
        <w:r>
          <w:rPr>
            <w:noProof/>
          </w:rPr>
          <w:fldChar w:fldCharType="separate"/>
        </w:r>
        <w:r>
          <w:rPr>
            <w:noProof/>
          </w:rPr>
          <w:t>107</w:t>
        </w:r>
        <w:r>
          <w:rPr>
            <w:noProof/>
          </w:rPr>
          <w:fldChar w:fldCharType="end"/>
        </w:r>
      </w:hyperlink>
    </w:p>
    <w:p w14:paraId="098DD680" w14:textId="77777777" w:rsidR="00E33FDE" w:rsidRDefault="00C72D7D">
      <w:pPr>
        <w:pStyle w:val="TDC1"/>
        <w:tabs>
          <w:tab w:val="right" w:leader="dot" w:pos="9394"/>
        </w:tabs>
        <w:rPr>
          <w:noProof/>
        </w:rPr>
      </w:pPr>
      <w:hyperlink w:anchor="_Toc235092554" w:history="1">
        <w:r>
          <w:rPr>
            <w:rStyle w:val="Hipervnculo"/>
            <w:noProof/>
          </w:rPr>
          <w:t>Problemática</w:t>
        </w:r>
        <w:r>
          <w:rPr>
            <w:noProof/>
          </w:rPr>
          <w:tab/>
        </w:r>
        <w:r>
          <w:rPr>
            <w:noProof/>
          </w:rPr>
          <w:fldChar w:fldCharType="begin" w:fldLock="1"/>
        </w:r>
        <w:r>
          <w:rPr>
            <w:noProof/>
          </w:rPr>
          <w:instrText xml:space="preserve"> PAGEREF _Toc235092554 \h </w:instrText>
        </w:r>
        <w:r>
          <w:rPr>
            <w:noProof/>
          </w:rPr>
        </w:r>
        <w:r>
          <w:rPr>
            <w:noProof/>
          </w:rPr>
          <w:fldChar w:fldCharType="separate"/>
        </w:r>
        <w:r>
          <w:rPr>
            <w:noProof/>
          </w:rPr>
          <w:t>108</w:t>
        </w:r>
        <w:r>
          <w:rPr>
            <w:noProof/>
          </w:rPr>
          <w:fldChar w:fldCharType="end"/>
        </w:r>
      </w:hyperlink>
    </w:p>
    <w:p w14:paraId="216AAEAA" w14:textId="77777777" w:rsidR="00E33FDE" w:rsidRDefault="00C72D7D">
      <w:pPr>
        <w:pStyle w:val="TDC1"/>
        <w:tabs>
          <w:tab w:val="right" w:leader="dot" w:pos="9394"/>
        </w:tabs>
        <w:rPr>
          <w:noProof/>
        </w:rPr>
      </w:pPr>
      <w:hyperlink w:anchor="_Toc235092555" w:history="1">
        <w:r>
          <w:rPr>
            <w:rStyle w:val="Hipervnculo"/>
            <w:noProof/>
          </w:rPr>
          <w:t>Hipótesis</w:t>
        </w:r>
        <w:r>
          <w:rPr>
            <w:noProof/>
          </w:rPr>
          <w:tab/>
        </w:r>
        <w:r>
          <w:rPr>
            <w:noProof/>
          </w:rPr>
          <w:fldChar w:fldCharType="begin" w:fldLock="1"/>
        </w:r>
        <w:r>
          <w:rPr>
            <w:noProof/>
          </w:rPr>
          <w:instrText xml:space="preserve"> PAGEREF _Toc235092555 \h </w:instrText>
        </w:r>
        <w:r>
          <w:rPr>
            <w:noProof/>
          </w:rPr>
        </w:r>
        <w:r>
          <w:rPr>
            <w:noProof/>
          </w:rPr>
          <w:fldChar w:fldCharType="separate"/>
        </w:r>
        <w:r>
          <w:rPr>
            <w:noProof/>
          </w:rPr>
          <w:t>109</w:t>
        </w:r>
        <w:r>
          <w:rPr>
            <w:noProof/>
          </w:rPr>
          <w:fldChar w:fldCharType="end"/>
        </w:r>
      </w:hyperlink>
    </w:p>
    <w:p w14:paraId="14BB7226" w14:textId="77777777" w:rsidR="00E33FDE" w:rsidRDefault="00C72D7D">
      <w:pPr>
        <w:pStyle w:val="TDC1"/>
        <w:tabs>
          <w:tab w:val="right" w:leader="dot" w:pos="9394"/>
        </w:tabs>
        <w:rPr>
          <w:noProof/>
        </w:rPr>
      </w:pPr>
      <w:hyperlink w:anchor="_Toc235092556" w:history="1">
        <w:r>
          <w:rPr>
            <w:rStyle w:val="Hipervnculo"/>
            <w:noProof/>
          </w:rPr>
          <w:t>Objetivos</w:t>
        </w:r>
        <w:r>
          <w:rPr>
            <w:noProof/>
          </w:rPr>
          <w:tab/>
        </w:r>
        <w:r>
          <w:rPr>
            <w:noProof/>
          </w:rPr>
          <w:fldChar w:fldCharType="begin" w:fldLock="1"/>
        </w:r>
        <w:r>
          <w:rPr>
            <w:noProof/>
          </w:rPr>
          <w:instrText xml:space="preserve"> PAGEREF _Toc235092556 \h </w:instrText>
        </w:r>
        <w:r>
          <w:rPr>
            <w:noProof/>
          </w:rPr>
        </w:r>
        <w:r>
          <w:rPr>
            <w:noProof/>
          </w:rPr>
          <w:fldChar w:fldCharType="separate"/>
        </w:r>
        <w:r>
          <w:rPr>
            <w:noProof/>
          </w:rPr>
          <w:t>109</w:t>
        </w:r>
        <w:r>
          <w:rPr>
            <w:noProof/>
          </w:rPr>
          <w:fldChar w:fldCharType="end"/>
        </w:r>
      </w:hyperlink>
    </w:p>
    <w:p w14:paraId="7616CCBB" w14:textId="77777777" w:rsidR="00E33FDE" w:rsidRDefault="00C72D7D">
      <w:pPr>
        <w:pStyle w:val="TDC1"/>
        <w:tabs>
          <w:tab w:val="right" w:leader="dot" w:pos="9394"/>
        </w:tabs>
        <w:rPr>
          <w:noProof/>
        </w:rPr>
      </w:pPr>
      <w:hyperlink w:anchor="_Toc235092559" w:history="1">
        <w:r>
          <w:rPr>
            <w:rStyle w:val="Hipervnculo"/>
            <w:noProof/>
          </w:rPr>
          <w:t>Metodología</w:t>
        </w:r>
        <w:r>
          <w:rPr>
            <w:noProof/>
          </w:rPr>
          <w:tab/>
        </w:r>
        <w:r>
          <w:rPr>
            <w:noProof/>
          </w:rPr>
          <w:fldChar w:fldCharType="begin" w:fldLock="1"/>
        </w:r>
        <w:r>
          <w:rPr>
            <w:noProof/>
          </w:rPr>
          <w:instrText xml:space="preserve"> PAGEREF _</w:instrText>
        </w:r>
        <w:r>
          <w:rPr>
            <w:noProof/>
          </w:rPr>
          <w:instrText xml:space="preserve">Toc235092559 \h </w:instrText>
        </w:r>
        <w:r>
          <w:rPr>
            <w:noProof/>
          </w:rPr>
        </w:r>
        <w:r>
          <w:rPr>
            <w:noProof/>
          </w:rPr>
          <w:fldChar w:fldCharType="separate"/>
        </w:r>
        <w:r>
          <w:rPr>
            <w:noProof/>
          </w:rPr>
          <w:t>110</w:t>
        </w:r>
        <w:r>
          <w:rPr>
            <w:noProof/>
          </w:rPr>
          <w:fldChar w:fldCharType="end"/>
        </w:r>
      </w:hyperlink>
    </w:p>
    <w:p w14:paraId="63B91339" w14:textId="77777777" w:rsidR="00E33FDE" w:rsidRDefault="00C72D7D">
      <w:pPr>
        <w:pStyle w:val="TDC1"/>
        <w:tabs>
          <w:tab w:val="right" w:leader="dot" w:pos="9394"/>
        </w:tabs>
        <w:rPr>
          <w:noProof/>
        </w:rPr>
      </w:pPr>
      <w:hyperlink w:anchor="_Toc235092560" w:history="1">
        <w:r>
          <w:rPr>
            <w:rStyle w:val="Hipervnculo"/>
            <w:noProof/>
          </w:rPr>
          <w:t>Capítulo 1. Relación entre el Ministerio de Minas y Energía y el Congreso de la República</w:t>
        </w:r>
        <w:r>
          <w:rPr>
            <w:noProof/>
          </w:rPr>
          <w:tab/>
        </w:r>
        <w:r>
          <w:rPr>
            <w:noProof/>
          </w:rPr>
          <w:fldChar w:fldCharType="begin" w:fldLock="1"/>
        </w:r>
        <w:r>
          <w:rPr>
            <w:noProof/>
          </w:rPr>
          <w:instrText xml:space="preserve"> PAGEREF _Toc235092560 \h </w:instrText>
        </w:r>
        <w:r>
          <w:rPr>
            <w:noProof/>
          </w:rPr>
        </w:r>
        <w:r>
          <w:rPr>
            <w:noProof/>
          </w:rPr>
          <w:fldChar w:fldCharType="separate"/>
        </w:r>
        <w:r>
          <w:rPr>
            <w:noProof/>
          </w:rPr>
          <w:t>112</w:t>
        </w:r>
        <w:r>
          <w:rPr>
            <w:noProof/>
          </w:rPr>
          <w:fldChar w:fldCharType="end"/>
        </w:r>
      </w:hyperlink>
    </w:p>
    <w:p w14:paraId="4E23641F" w14:textId="77777777" w:rsidR="00E33FDE" w:rsidRDefault="00C72D7D">
      <w:pPr>
        <w:pStyle w:val="TDC2"/>
        <w:tabs>
          <w:tab w:val="right" w:leader="dot" w:pos="9394"/>
        </w:tabs>
        <w:rPr>
          <w:noProof/>
        </w:rPr>
      </w:pPr>
      <w:hyperlink w:anchor="_Toc235092561" w:history="1">
        <w:r>
          <w:rPr>
            <w:rStyle w:val="Hipervnculo"/>
            <w:noProof/>
          </w:rPr>
          <w:t>1.1 Caso colombiano</w:t>
        </w:r>
        <w:r>
          <w:rPr>
            <w:noProof/>
          </w:rPr>
          <w:tab/>
        </w:r>
        <w:r>
          <w:rPr>
            <w:noProof/>
          </w:rPr>
          <w:fldChar w:fldCharType="begin" w:fldLock="1"/>
        </w:r>
        <w:r>
          <w:rPr>
            <w:noProof/>
          </w:rPr>
          <w:instrText xml:space="preserve"> PAGEREF _Toc235092561 \h </w:instrText>
        </w:r>
        <w:r>
          <w:rPr>
            <w:noProof/>
          </w:rPr>
        </w:r>
        <w:r>
          <w:rPr>
            <w:noProof/>
          </w:rPr>
          <w:fldChar w:fldCharType="separate"/>
        </w:r>
        <w:r>
          <w:rPr>
            <w:noProof/>
          </w:rPr>
          <w:t>112</w:t>
        </w:r>
        <w:r>
          <w:rPr>
            <w:noProof/>
          </w:rPr>
          <w:fldChar w:fldCharType="end"/>
        </w:r>
      </w:hyperlink>
    </w:p>
    <w:p w14:paraId="3EC4E11D" w14:textId="77777777" w:rsidR="00E33FDE" w:rsidRDefault="00C72D7D">
      <w:pPr>
        <w:pStyle w:val="TDC2"/>
        <w:tabs>
          <w:tab w:val="right" w:leader="dot" w:pos="9394"/>
        </w:tabs>
        <w:rPr>
          <w:noProof/>
        </w:rPr>
      </w:pPr>
      <w:hyperlink w:anchor="_Toc235092566" w:history="1">
        <w:r>
          <w:rPr>
            <w:rStyle w:val="Hipervnculo"/>
            <w:noProof/>
          </w:rPr>
          <w:t>1.2 Análisis de la estrategia de relacionamiento legislativo del Ministerio de Minas y Energía</w:t>
        </w:r>
        <w:r>
          <w:rPr>
            <w:noProof/>
          </w:rPr>
          <w:tab/>
        </w:r>
        <w:r>
          <w:rPr>
            <w:noProof/>
          </w:rPr>
          <w:fldChar w:fldCharType="begin" w:fldLock="1"/>
        </w:r>
        <w:r>
          <w:rPr>
            <w:noProof/>
          </w:rPr>
          <w:instrText xml:space="preserve"> PAGEREF _Toc235092566 \h </w:instrText>
        </w:r>
        <w:r>
          <w:rPr>
            <w:noProof/>
          </w:rPr>
        </w:r>
        <w:r>
          <w:rPr>
            <w:noProof/>
          </w:rPr>
          <w:fldChar w:fldCharType="separate"/>
        </w:r>
        <w:r>
          <w:rPr>
            <w:noProof/>
          </w:rPr>
          <w:t>118</w:t>
        </w:r>
        <w:r>
          <w:rPr>
            <w:noProof/>
          </w:rPr>
          <w:fldChar w:fldCharType="end"/>
        </w:r>
      </w:hyperlink>
    </w:p>
    <w:p w14:paraId="21FCE5EF" w14:textId="77777777" w:rsidR="00E33FDE" w:rsidRDefault="00C72D7D">
      <w:pPr>
        <w:pStyle w:val="TDC2"/>
        <w:tabs>
          <w:tab w:val="right" w:leader="dot" w:pos="9394"/>
        </w:tabs>
        <w:rPr>
          <w:noProof/>
        </w:rPr>
      </w:pPr>
      <w:hyperlink w:anchor="_Toc235092571" w:history="1">
        <w:r>
          <w:rPr>
            <w:rStyle w:val="Hipervnculo"/>
            <w:noProof/>
          </w:rPr>
          <w:t>Benchmarking</w:t>
        </w:r>
        <w:r>
          <w:rPr>
            <w:noProof/>
          </w:rPr>
          <w:tab/>
        </w:r>
        <w:r>
          <w:rPr>
            <w:noProof/>
          </w:rPr>
          <w:fldChar w:fldCharType="begin" w:fldLock="1"/>
        </w:r>
        <w:r>
          <w:rPr>
            <w:noProof/>
          </w:rPr>
          <w:instrText xml:space="preserve"> PAGEREF _Toc235092571 \h </w:instrText>
        </w:r>
        <w:r>
          <w:rPr>
            <w:noProof/>
          </w:rPr>
        </w:r>
        <w:r>
          <w:rPr>
            <w:noProof/>
          </w:rPr>
          <w:fldChar w:fldCharType="separate"/>
        </w:r>
        <w:r>
          <w:rPr>
            <w:noProof/>
          </w:rPr>
          <w:t>124</w:t>
        </w:r>
        <w:r>
          <w:rPr>
            <w:noProof/>
          </w:rPr>
          <w:fldChar w:fldCharType="end"/>
        </w:r>
      </w:hyperlink>
    </w:p>
    <w:p w14:paraId="7E0DD7D7" w14:textId="77777777" w:rsidR="00E33FDE" w:rsidRDefault="00C72D7D">
      <w:pPr>
        <w:pStyle w:val="TDC2"/>
        <w:tabs>
          <w:tab w:val="right" w:leader="dot" w:pos="9394"/>
        </w:tabs>
        <w:rPr>
          <w:noProof/>
        </w:rPr>
      </w:pPr>
      <w:hyperlink w:anchor="_Toc235092576" w:history="1">
        <w:r>
          <w:rPr>
            <w:rStyle w:val="Hipervnculo"/>
            <w:noProof/>
          </w:rPr>
          <w:t>Conclusiones</w:t>
        </w:r>
        <w:r>
          <w:rPr>
            <w:noProof/>
          </w:rPr>
          <w:tab/>
        </w:r>
        <w:r>
          <w:rPr>
            <w:noProof/>
          </w:rPr>
          <w:fldChar w:fldCharType="begin" w:fldLock="1"/>
        </w:r>
        <w:r>
          <w:rPr>
            <w:noProof/>
          </w:rPr>
          <w:instrText xml:space="preserve"> PAGEREF _Toc235092576 \h </w:instrText>
        </w:r>
        <w:r>
          <w:rPr>
            <w:noProof/>
          </w:rPr>
        </w:r>
        <w:r>
          <w:rPr>
            <w:noProof/>
          </w:rPr>
          <w:fldChar w:fldCharType="separate"/>
        </w:r>
        <w:r>
          <w:rPr>
            <w:noProof/>
          </w:rPr>
          <w:t>138</w:t>
        </w:r>
        <w:r>
          <w:rPr>
            <w:noProof/>
          </w:rPr>
          <w:fldChar w:fldCharType="end"/>
        </w:r>
      </w:hyperlink>
    </w:p>
    <w:p w14:paraId="741E4106" w14:textId="77777777" w:rsidR="00E33FDE" w:rsidRDefault="00C72D7D">
      <w:pPr>
        <w:pStyle w:val="TDC1"/>
        <w:tabs>
          <w:tab w:val="right" w:leader="dot" w:pos="9394"/>
        </w:tabs>
        <w:rPr>
          <w:noProof/>
        </w:rPr>
      </w:pPr>
      <w:hyperlink w:anchor="_Toc235092577" w:history="1">
        <w:r>
          <w:rPr>
            <w:rStyle w:val="Hipervnculo"/>
            <w:noProof/>
          </w:rPr>
          <w:t>Capítulo 2. Análisis de solicitudes del Congreso de la República al Ministerio de Minas y Energía</w:t>
        </w:r>
        <w:r>
          <w:rPr>
            <w:noProof/>
          </w:rPr>
          <w:tab/>
        </w:r>
        <w:r>
          <w:rPr>
            <w:noProof/>
          </w:rPr>
          <w:fldChar w:fldCharType="begin" w:fldLock="1"/>
        </w:r>
        <w:r>
          <w:rPr>
            <w:noProof/>
          </w:rPr>
          <w:instrText xml:space="preserve"> PAGEREF _Toc235092577 \h </w:instrText>
        </w:r>
        <w:r>
          <w:rPr>
            <w:noProof/>
          </w:rPr>
        </w:r>
        <w:r>
          <w:rPr>
            <w:noProof/>
          </w:rPr>
          <w:fldChar w:fldCharType="separate"/>
        </w:r>
        <w:r>
          <w:rPr>
            <w:noProof/>
          </w:rPr>
          <w:t>141</w:t>
        </w:r>
        <w:r>
          <w:rPr>
            <w:noProof/>
          </w:rPr>
          <w:fldChar w:fldCharType="end"/>
        </w:r>
      </w:hyperlink>
    </w:p>
    <w:p w14:paraId="47B16F00" w14:textId="77777777" w:rsidR="00E33FDE" w:rsidRDefault="00C72D7D">
      <w:pPr>
        <w:pStyle w:val="TDC2"/>
        <w:tabs>
          <w:tab w:val="right" w:leader="dot" w:pos="9394"/>
        </w:tabs>
        <w:rPr>
          <w:noProof/>
        </w:rPr>
      </w:pPr>
      <w:hyperlink w:anchor="_Toc235092578" w:history="1">
        <w:r>
          <w:rPr>
            <w:rStyle w:val="Hipervnculo"/>
            <w:noProof/>
          </w:rPr>
          <w:t>2.1 Análisis documental</w:t>
        </w:r>
        <w:r>
          <w:rPr>
            <w:noProof/>
          </w:rPr>
          <w:tab/>
        </w:r>
        <w:r>
          <w:rPr>
            <w:noProof/>
          </w:rPr>
          <w:fldChar w:fldCharType="begin" w:fldLock="1"/>
        </w:r>
        <w:r>
          <w:rPr>
            <w:noProof/>
          </w:rPr>
          <w:instrText xml:space="preserve"> PAGEREF _Toc235092578 \h </w:instrText>
        </w:r>
        <w:r>
          <w:rPr>
            <w:noProof/>
          </w:rPr>
        </w:r>
        <w:r>
          <w:rPr>
            <w:noProof/>
          </w:rPr>
          <w:fldChar w:fldCharType="separate"/>
        </w:r>
        <w:r>
          <w:rPr>
            <w:noProof/>
          </w:rPr>
          <w:t>141</w:t>
        </w:r>
        <w:r>
          <w:rPr>
            <w:noProof/>
          </w:rPr>
          <w:fldChar w:fldCharType="end"/>
        </w:r>
      </w:hyperlink>
    </w:p>
    <w:p w14:paraId="7CFC3B86" w14:textId="77777777" w:rsidR="00E33FDE" w:rsidRDefault="00C72D7D">
      <w:pPr>
        <w:pStyle w:val="TDC2"/>
        <w:tabs>
          <w:tab w:val="right" w:leader="dot" w:pos="9394"/>
        </w:tabs>
        <w:rPr>
          <w:noProof/>
        </w:rPr>
      </w:pPr>
      <w:hyperlink w:anchor="_Toc235092582" w:history="1">
        <w:r>
          <w:rPr>
            <w:rStyle w:val="Hipervnculo"/>
            <w:noProof/>
          </w:rPr>
          <w:t>2.2 Proyectos de ley asociados a la Transición Energética Justa (2024-2026)</w:t>
        </w:r>
        <w:r>
          <w:rPr>
            <w:noProof/>
          </w:rPr>
          <w:tab/>
        </w:r>
        <w:r>
          <w:rPr>
            <w:noProof/>
          </w:rPr>
          <w:fldChar w:fldCharType="begin" w:fldLock="1"/>
        </w:r>
        <w:r>
          <w:rPr>
            <w:noProof/>
          </w:rPr>
          <w:instrText xml:space="preserve"> PAGEREF _Toc235092582 \h </w:instrText>
        </w:r>
        <w:r>
          <w:rPr>
            <w:noProof/>
          </w:rPr>
        </w:r>
        <w:r>
          <w:rPr>
            <w:noProof/>
          </w:rPr>
          <w:fldChar w:fldCharType="separate"/>
        </w:r>
        <w:r>
          <w:rPr>
            <w:noProof/>
          </w:rPr>
          <w:t>166</w:t>
        </w:r>
        <w:r>
          <w:rPr>
            <w:noProof/>
          </w:rPr>
          <w:fldChar w:fldCharType="end"/>
        </w:r>
      </w:hyperlink>
    </w:p>
    <w:p w14:paraId="73846C6D" w14:textId="77777777" w:rsidR="00E33FDE" w:rsidRDefault="00C72D7D">
      <w:pPr>
        <w:pStyle w:val="TDC1"/>
        <w:tabs>
          <w:tab w:val="right" w:leader="dot" w:pos="9394"/>
        </w:tabs>
        <w:rPr>
          <w:noProof/>
        </w:rPr>
      </w:pPr>
      <w:hyperlink w:anchor="_Toc235092589" w:history="1">
        <w:r>
          <w:rPr>
            <w:rStyle w:val="Hipervnculo"/>
            <w:noProof/>
          </w:rPr>
          <w:t>Capítulo 3. Imaginarios frente al relacionamiento ejecutivo-legislativo</w:t>
        </w:r>
        <w:r>
          <w:rPr>
            <w:noProof/>
          </w:rPr>
          <w:tab/>
        </w:r>
        <w:r>
          <w:rPr>
            <w:noProof/>
          </w:rPr>
          <w:fldChar w:fldCharType="begin" w:fldLock="1"/>
        </w:r>
        <w:r>
          <w:rPr>
            <w:noProof/>
          </w:rPr>
          <w:instrText xml:space="preserve"> PAGEREF _Toc235092589 \h </w:instrText>
        </w:r>
        <w:r>
          <w:rPr>
            <w:noProof/>
          </w:rPr>
        </w:r>
        <w:r>
          <w:rPr>
            <w:noProof/>
          </w:rPr>
          <w:fldChar w:fldCharType="separate"/>
        </w:r>
        <w:r>
          <w:rPr>
            <w:noProof/>
          </w:rPr>
          <w:t>180</w:t>
        </w:r>
        <w:r>
          <w:rPr>
            <w:noProof/>
          </w:rPr>
          <w:fldChar w:fldCharType="end"/>
        </w:r>
      </w:hyperlink>
    </w:p>
    <w:p w14:paraId="3A408F67" w14:textId="77777777" w:rsidR="00E33FDE" w:rsidRDefault="00C72D7D">
      <w:pPr>
        <w:pStyle w:val="TDC2"/>
        <w:tabs>
          <w:tab w:val="right" w:leader="dot" w:pos="9394"/>
        </w:tabs>
        <w:rPr>
          <w:noProof/>
        </w:rPr>
      </w:pPr>
      <w:hyperlink w:anchor="_Toc235092590" w:history="1">
        <w:r>
          <w:rPr>
            <w:rStyle w:val="Hipervnculo"/>
            <w:noProof/>
          </w:rPr>
          <w:t>3.1 An</w:t>
        </w:r>
        <w:r>
          <w:rPr>
            <w:rStyle w:val="Hipervnculo"/>
            <w:noProof/>
          </w:rPr>
          <w:t>álisis grupo focal del sector minero energético</w:t>
        </w:r>
        <w:r>
          <w:rPr>
            <w:noProof/>
          </w:rPr>
          <w:tab/>
        </w:r>
        <w:r>
          <w:rPr>
            <w:noProof/>
          </w:rPr>
          <w:fldChar w:fldCharType="begin" w:fldLock="1"/>
        </w:r>
        <w:r>
          <w:rPr>
            <w:noProof/>
          </w:rPr>
          <w:instrText xml:space="preserve"> PAGEREF _Toc235092590 \h </w:instrText>
        </w:r>
        <w:r>
          <w:rPr>
            <w:noProof/>
          </w:rPr>
        </w:r>
        <w:r>
          <w:rPr>
            <w:noProof/>
          </w:rPr>
          <w:fldChar w:fldCharType="separate"/>
        </w:r>
        <w:r>
          <w:rPr>
            <w:noProof/>
          </w:rPr>
          <w:t>181</w:t>
        </w:r>
        <w:r>
          <w:rPr>
            <w:noProof/>
          </w:rPr>
          <w:fldChar w:fldCharType="end"/>
        </w:r>
      </w:hyperlink>
    </w:p>
    <w:p w14:paraId="59CA3B5B" w14:textId="77777777" w:rsidR="00E33FDE" w:rsidRDefault="00C72D7D">
      <w:pPr>
        <w:pStyle w:val="TDC1"/>
        <w:tabs>
          <w:tab w:val="right" w:leader="dot" w:pos="9394"/>
        </w:tabs>
        <w:rPr>
          <w:noProof/>
        </w:rPr>
      </w:pPr>
      <w:hyperlink w:anchor="_Toc235092596" w:history="1">
        <w:r>
          <w:rPr>
            <w:rStyle w:val="Hipervnculo"/>
            <w:noProof/>
          </w:rPr>
          <w:t>Capítulo 4. Propuesta de estrategia institucional de relacionamiento ejecutivo</w:t>
        </w:r>
        <w:r>
          <w:rPr>
            <w:rStyle w:val="Hipervnculo"/>
            <w:noProof/>
          </w:rPr>
          <w:t>-legislativo</w:t>
        </w:r>
        <w:r>
          <w:rPr>
            <w:noProof/>
          </w:rPr>
          <w:tab/>
        </w:r>
        <w:r>
          <w:rPr>
            <w:noProof/>
          </w:rPr>
          <w:fldChar w:fldCharType="begin" w:fldLock="1"/>
        </w:r>
        <w:r>
          <w:rPr>
            <w:noProof/>
          </w:rPr>
          <w:instrText xml:space="preserve"> PAGEREF _Toc235092596 \h </w:instrText>
        </w:r>
        <w:r>
          <w:rPr>
            <w:noProof/>
          </w:rPr>
        </w:r>
        <w:r>
          <w:rPr>
            <w:noProof/>
          </w:rPr>
          <w:fldChar w:fldCharType="separate"/>
        </w:r>
        <w:r>
          <w:rPr>
            <w:noProof/>
          </w:rPr>
          <w:t>184</w:t>
        </w:r>
        <w:r>
          <w:rPr>
            <w:noProof/>
          </w:rPr>
          <w:fldChar w:fldCharType="end"/>
        </w:r>
      </w:hyperlink>
    </w:p>
    <w:p w14:paraId="3E540333" w14:textId="77777777" w:rsidR="00E33FDE" w:rsidRDefault="00C72D7D">
      <w:pPr>
        <w:pStyle w:val="TDC1"/>
        <w:tabs>
          <w:tab w:val="right" w:leader="dot" w:pos="9394"/>
        </w:tabs>
        <w:rPr>
          <w:noProof/>
        </w:rPr>
      </w:pPr>
      <w:hyperlink w:anchor="_Toc235092597" w:history="1">
        <w:r>
          <w:rPr>
            <w:rStyle w:val="Hipervnculo"/>
            <w:noProof/>
          </w:rPr>
          <w:t>Referencias</w:t>
        </w:r>
        <w:r>
          <w:rPr>
            <w:noProof/>
          </w:rPr>
          <w:tab/>
        </w:r>
        <w:r>
          <w:rPr>
            <w:noProof/>
          </w:rPr>
          <w:fldChar w:fldCharType="begin" w:fldLock="1"/>
        </w:r>
        <w:r>
          <w:rPr>
            <w:noProof/>
          </w:rPr>
          <w:instrText xml:space="preserve"> PAGEREF _Toc235092597 \h </w:instrText>
        </w:r>
        <w:r>
          <w:rPr>
            <w:noProof/>
          </w:rPr>
        </w:r>
        <w:r>
          <w:rPr>
            <w:noProof/>
          </w:rPr>
          <w:fldChar w:fldCharType="separate"/>
        </w:r>
        <w:r>
          <w:rPr>
            <w:noProof/>
          </w:rPr>
          <w:t>184</w:t>
        </w:r>
        <w:r>
          <w:rPr>
            <w:noProof/>
          </w:rPr>
          <w:fldChar w:fldCharType="end"/>
        </w:r>
      </w:hyperlink>
    </w:p>
    <w:p w14:paraId="380BA002" w14:textId="77777777" w:rsidR="00F24A71" w:rsidRDefault="00F24A71" w:rsidP="00CD0C90">
      <w:pPr>
        <w:jc w:val="center"/>
        <w:rPr>
          <w:rFonts w:asciiTheme="majorHAnsi" w:hAnsiTheme="majorHAnsi" w:cstheme="majorHAnsi"/>
          <w:b/>
          <w:bCs/>
          <w:color w:val="D49E21"/>
          <w:sz w:val="52"/>
          <w:szCs w:val="52"/>
        </w:rPr>
      </w:pPr>
    </w:p>
    <w:p w14:paraId="65AD5B32" w14:textId="77777777" w:rsidR="110633E4" w:rsidRPr="00985B97" w:rsidRDefault="734E57EF" w:rsidP="00A86834">
      <w:pPr>
        <w:pStyle w:val="Ttulo1"/>
      </w:pPr>
      <w:bookmarkStart w:id="116" w:name="_Toc235092545"/>
      <w:bookmarkStart w:id="117" w:name="_Toc235107989"/>
      <w:r w:rsidRPr="00985B97">
        <w:lastRenderedPageBreak/>
        <w:t>Introducción</w:t>
      </w:r>
      <w:bookmarkEnd w:id="116"/>
      <w:bookmarkEnd w:id="117"/>
    </w:p>
    <w:p w14:paraId="46907BD5" w14:textId="77777777" w:rsidR="21E1C73D" w:rsidRPr="00985B97" w:rsidRDefault="21E1C73D" w:rsidP="00985B97">
      <w:pPr>
        <w:pStyle w:val="Prrafodelista"/>
        <w:ind w:left="0"/>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t>La transición energética justa se ha convertido en uno de los principales desafíos de la política pública en Colombia, al pretender alcanzar la sustitución progresiva de los combustibles fósiles por fuentes renovables y sostenibles, en un marco que garantice justicia social, equidad territorial y legitimidad institucional. Este proceso, que constituye uno de los grandes ejes de acción del gobierno nacional, no depende únicamente de la capacidad técnica del Ministerio de Minas y Energía, sino también de la solidez de su relación con el Congreso de la República, institución que ejerce funciones de control político y legislativo y que resulta indispensable para la aprobación de normas y el respaldo a las políticas del sector.</w:t>
      </w:r>
    </w:p>
    <w:p w14:paraId="2FEB7F15" w14:textId="77777777" w:rsidR="21E1C73D" w:rsidRPr="00985B97" w:rsidRDefault="21E1C73D" w:rsidP="00985B97">
      <w:pPr>
        <w:pStyle w:val="Prrafodelista"/>
        <w:ind w:left="0"/>
        <w:jc w:val="both"/>
        <w:rPr>
          <w:rFonts w:asciiTheme="majorHAnsi" w:hAnsiTheme="majorHAnsi" w:cstheme="majorHAnsi"/>
        </w:rPr>
      </w:pPr>
      <w:r w:rsidRPr="00985B97">
        <w:rPr>
          <w:rFonts w:asciiTheme="majorHAnsi" w:hAnsiTheme="majorHAnsi" w:cstheme="majorHAnsi"/>
          <w:color w:val="000000" w:themeColor="text1"/>
          <w:lang w:val="es-ES"/>
        </w:rPr>
        <w:t xml:space="preserve"> </w:t>
      </w:r>
    </w:p>
    <w:p w14:paraId="78772743" w14:textId="77777777" w:rsidR="21E1C73D" w:rsidRPr="00985B97" w:rsidRDefault="21E1C73D" w:rsidP="00985B97">
      <w:pPr>
        <w:pStyle w:val="Prrafodelista"/>
        <w:ind w:left="0"/>
        <w:jc w:val="both"/>
        <w:rPr>
          <w:rFonts w:asciiTheme="majorHAnsi" w:hAnsiTheme="majorHAnsi" w:cstheme="majorHAnsi"/>
        </w:rPr>
      </w:pPr>
      <w:r w:rsidRPr="00985B97">
        <w:rPr>
          <w:rFonts w:asciiTheme="majorHAnsi" w:hAnsiTheme="majorHAnsi" w:cstheme="majorHAnsi"/>
          <w:color w:val="000000" w:themeColor="text1"/>
          <w:lang w:val="es-ES"/>
        </w:rPr>
        <w:t>La interacción entre estas dos entidades ha estado marcada por tensiones y limitaciones que reflejan la ausencia de un análisis estratégico legislativo robusto. En lugar de consolidar un relacionamiento institucional estable y coherente, la dinámica ha tendido a fragmentarse y a depender de vínculos personales, lo que dificulta la construcción de consensos duraderos y la articulación de una agenda legislativa alineada con los objetivos de la transición energética. Esta situación plantea un reto para el Estado colombiano: fortalecer los mecanismos de análisis y gestión legislativa que permitan superar la informalidad y avanzar hacia una estrategia institucional capaz de sostener políticas públicas de largo plazo.</w:t>
      </w:r>
    </w:p>
    <w:p w14:paraId="0E2A1EFE" w14:textId="77777777" w:rsidR="21E1C73D" w:rsidRPr="00985B97" w:rsidRDefault="21E1C73D" w:rsidP="00985B97">
      <w:pPr>
        <w:pStyle w:val="Prrafodelista"/>
        <w:ind w:left="0"/>
        <w:jc w:val="both"/>
        <w:rPr>
          <w:rFonts w:asciiTheme="majorHAnsi" w:hAnsiTheme="majorHAnsi" w:cstheme="majorHAnsi"/>
        </w:rPr>
      </w:pPr>
      <w:r w:rsidRPr="00985B97">
        <w:rPr>
          <w:rFonts w:asciiTheme="majorHAnsi" w:hAnsiTheme="majorHAnsi" w:cstheme="majorHAnsi"/>
          <w:color w:val="000000" w:themeColor="text1"/>
          <w:lang w:val="es-ES"/>
        </w:rPr>
        <w:t xml:space="preserve"> </w:t>
      </w:r>
    </w:p>
    <w:p w14:paraId="00F3AE40" w14:textId="77777777" w:rsidR="21E1C73D" w:rsidRPr="00985B97" w:rsidRDefault="21E1C73D" w:rsidP="00985B97">
      <w:pPr>
        <w:pStyle w:val="Prrafodelista"/>
        <w:ind w:left="0"/>
        <w:jc w:val="both"/>
        <w:rPr>
          <w:rFonts w:asciiTheme="majorHAnsi" w:hAnsiTheme="majorHAnsi" w:cstheme="majorHAnsi"/>
        </w:rPr>
      </w:pPr>
      <w:r w:rsidRPr="00985B97">
        <w:rPr>
          <w:rFonts w:asciiTheme="majorHAnsi" w:hAnsiTheme="majorHAnsi" w:cstheme="majorHAnsi"/>
          <w:color w:val="000000" w:themeColor="text1"/>
          <w:lang w:val="es-ES"/>
        </w:rPr>
        <w:t>En este sentido, esta investigación se orienta a examinar cómo las debilidades del análisis estratégico legislativo condicionan la relación entre el Ministerio de Minas y Energía y el Congreso de la República, y a partir de ello, explorar alternativas institucionales que contribuyan a mejorar su interacción.</w:t>
      </w:r>
    </w:p>
    <w:p w14:paraId="1F7074AA" w14:textId="77777777" w:rsidR="21E1C73D" w:rsidRPr="00985B97" w:rsidRDefault="21E1C73D" w:rsidP="00985B97">
      <w:pPr>
        <w:pStyle w:val="Prrafodelista"/>
        <w:ind w:left="0"/>
        <w:jc w:val="both"/>
        <w:rPr>
          <w:rFonts w:asciiTheme="majorHAnsi" w:hAnsiTheme="majorHAnsi" w:cstheme="majorHAnsi"/>
        </w:rPr>
      </w:pPr>
      <w:r w:rsidRPr="00985B97">
        <w:rPr>
          <w:rFonts w:asciiTheme="majorHAnsi" w:hAnsiTheme="majorHAnsi" w:cstheme="majorHAnsi"/>
          <w:color w:val="000000" w:themeColor="text1"/>
          <w:lang w:val="es-ES"/>
        </w:rPr>
        <w:t xml:space="preserve"> </w:t>
      </w:r>
    </w:p>
    <w:p w14:paraId="38386611" w14:textId="77777777" w:rsidR="21E1C73D" w:rsidRPr="00985B97" w:rsidRDefault="21E1C73D" w:rsidP="00985B97">
      <w:pPr>
        <w:pStyle w:val="Prrafodelista"/>
        <w:ind w:left="0"/>
        <w:jc w:val="both"/>
        <w:rPr>
          <w:rFonts w:asciiTheme="majorHAnsi" w:hAnsiTheme="majorHAnsi" w:cstheme="majorHAnsi"/>
        </w:rPr>
      </w:pPr>
      <w:r w:rsidRPr="00985B97">
        <w:rPr>
          <w:rFonts w:asciiTheme="majorHAnsi" w:hAnsiTheme="majorHAnsi" w:cstheme="majorHAnsi"/>
          <w:color w:val="000000" w:themeColor="text1"/>
          <w:lang w:val="es-ES"/>
        </w:rPr>
        <w:t xml:space="preserve">Para ello, este documento, se organiza en tres capítulos. El primero hace una caracterización de la relación actual entre el Ministerio de Minas y Energía y el Congreso de la República, destacando el peso de los vínculos personales frente a las estructuras institucionales. El segundo capítulo analiza las debilidades del análisis estratégico legislativo reconocidas por el Ministerio como limitantes para una relación más efectiva con el Congreso. Finalmente, el tercer capítulo propone estrategias institucionales que el Ministerio puede impulsar para fortalecer su relación con el Congreso y garantizar la consolidación de una transición energética justa. </w:t>
      </w:r>
    </w:p>
    <w:p w14:paraId="66B06404" w14:textId="77777777" w:rsidR="21E1C73D" w:rsidRPr="00985B97" w:rsidRDefault="21E1C73D" w:rsidP="00985B97">
      <w:pPr>
        <w:pStyle w:val="Prrafodelista"/>
        <w:ind w:left="0"/>
        <w:jc w:val="both"/>
        <w:rPr>
          <w:rFonts w:asciiTheme="majorHAnsi" w:hAnsiTheme="majorHAnsi" w:cstheme="majorHAnsi"/>
        </w:rPr>
      </w:pPr>
      <w:r w:rsidRPr="00985B97">
        <w:rPr>
          <w:rFonts w:asciiTheme="majorHAnsi" w:hAnsiTheme="majorHAnsi" w:cstheme="majorHAnsi"/>
          <w:color w:val="000000" w:themeColor="text1"/>
          <w:lang w:val="es-ES"/>
        </w:rPr>
        <w:lastRenderedPageBreak/>
        <w:t xml:space="preserve"> </w:t>
      </w:r>
    </w:p>
    <w:p w14:paraId="17F9DAB4" w14:textId="77777777" w:rsidR="009B1480" w:rsidRPr="00985B97" w:rsidRDefault="21E1C73D" w:rsidP="00985B97">
      <w:pPr>
        <w:pStyle w:val="Prrafodelista"/>
        <w:ind w:left="0"/>
        <w:jc w:val="both"/>
        <w:rPr>
          <w:rFonts w:asciiTheme="majorHAnsi" w:hAnsiTheme="majorHAnsi" w:cstheme="majorHAnsi"/>
        </w:rPr>
      </w:pPr>
      <w:r w:rsidRPr="00985B97">
        <w:rPr>
          <w:rFonts w:asciiTheme="majorHAnsi" w:hAnsiTheme="majorHAnsi" w:cstheme="majorHAnsi"/>
          <w:color w:val="000000" w:themeColor="text1"/>
          <w:lang w:val="es-ES"/>
        </w:rPr>
        <w:t>Esta investigación, constituye así un insumo fundamental para el diseño de estrategias institucionales que fortalezcan la interlocución entre el Ministerio de Minas y Energía y el legislativo, permitiendo acelerar la formulación e implementación de la transición energética justa.</w:t>
      </w:r>
    </w:p>
    <w:p w14:paraId="6747D86C" w14:textId="77777777" w:rsidR="739DF293" w:rsidRPr="00985B97" w:rsidRDefault="739DF293" w:rsidP="00A86834">
      <w:pPr>
        <w:pStyle w:val="Ttulo1"/>
      </w:pPr>
      <w:bookmarkStart w:id="118" w:name="_Toc235092546"/>
      <w:bookmarkStart w:id="119" w:name="_Toc235107990"/>
      <w:r w:rsidRPr="00985B97">
        <w:t>Marco teórico</w:t>
      </w:r>
      <w:bookmarkEnd w:id="118"/>
      <w:bookmarkEnd w:id="119"/>
    </w:p>
    <w:p w14:paraId="4A468771" w14:textId="77777777" w:rsidR="7A4171CF" w:rsidRPr="00985B97" w:rsidRDefault="7A4171CF" w:rsidP="00985B97">
      <w:pPr>
        <w:spacing w:after="160"/>
        <w:jc w:val="both"/>
        <w:rPr>
          <w:rFonts w:asciiTheme="majorHAnsi" w:hAnsiTheme="majorHAnsi" w:cstheme="majorHAnsi"/>
          <w:color w:val="000000" w:themeColor="text1"/>
        </w:rPr>
      </w:pPr>
      <w:bookmarkStart w:id="120" w:name="_Hlk234698182"/>
      <w:r w:rsidRPr="00985B97">
        <w:rPr>
          <w:rFonts w:asciiTheme="majorHAnsi" w:hAnsiTheme="majorHAnsi" w:cstheme="majorHAnsi"/>
          <w:color w:val="000000" w:themeColor="text1"/>
          <w:lang w:val="es-ES"/>
        </w:rPr>
        <w:t>Este apartado presenta la estructura analítica de las categorías que orientan esta investigación, para presentar los debates más importantes en los que se enmarcan el relacionamiento de los poderes ejecutivo y legislativo, y su influencia en las políticas públicas, en este caso, en la política de TEJ. En primer lugar, se presenta una descripción de la teoría de pesos y contrapesos del poder público, a la luz de la teoría de la separación de poderes. En segundo lugar, se hará una breve explicación de las teorías de relacionamiento entre el ejecutivo y el legislativo, así como los mecanismos que definen su relación. Finalmente, se realizará una síntesis de las teorías de análisis de políticas públicas que se utilizarán para analizar la forma en que el relacionamiento entre el Ministerio de Minas y Energía y el Congreso de la República incide en la formulación de la política pública de transición energética.</w:t>
      </w:r>
    </w:p>
    <w:p w14:paraId="0EC6DC96" w14:textId="77777777" w:rsidR="7A4171CF" w:rsidRPr="00985B97" w:rsidRDefault="7A4171CF" w:rsidP="00985B97">
      <w:pPr>
        <w:pStyle w:val="Ttulo3"/>
        <w:rPr>
          <w:rFonts w:asciiTheme="majorHAnsi" w:hAnsiTheme="majorHAnsi" w:cstheme="majorHAnsi"/>
          <w:color w:val="000000" w:themeColor="text1"/>
          <w:sz w:val="22"/>
          <w:szCs w:val="22"/>
        </w:rPr>
      </w:pPr>
      <w:bookmarkStart w:id="121" w:name="_Toc235092547"/>
      <w:bookmarkStart w:id="122" w:name="_Toc235107991"/>
      <w:r w:rsidRPr="00985B97">
        <w:rPr>
          <w:rFonts w:asciiTheme="majorHAnsi" w:hAnsiTheme="majorHAnsi" w:cstheme="majorHAnsi"/>
          <w:sz w:val="22"/>
          <w:szCs w:val="22"/>
          <w:lang w:val="es-ES"/>
        </w:rPr>
        <w:t>Teoría de la separación de poderes</w:t>
      </w:r>
      <w:bookmarkEnd w:id="121"/>
      <w:bookmarkEnd w:id="122"/>
      <w:r w:rsidRPr="00985B97">
        <w:rPr>
          <w:rFonts w:asciiTheme="majorHAnsi" w:hAnsiTheme="majorHAnsi" w:cstheme="majorHAnsi"/>
          <w:color w:val="000000" w:themeColor="text1"/>
          <w:sz w:val="22"/>
          <w:szCs w:val="22"/>
          <w:lang w:val="es-ES"/>
        </w:rPr>
        <w:t xml:space="preserve"> </w:t>
      </w:r>
    </w:p>
    <w:p w14:paraId="7E09147F" w14:textId="77777777" w:rsidR="7A4171CF" w:rsidRPr="00985B97" w:rsidRDefault="7A4171CF" w:rsidP="00985B97">
      <w:pPr>
        <w:spacing w:after="16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De acuerdo con la teoría clásica de Montesquieu (1748), la autoridad política en un Estado debe dividirse en tres poderes, ejecutivo, legislativo y judicial, los cuales, a su vez, deben estar en manos de individuos diferentes, que a su vez puedan ejercer un control mutuo, para limitar el poder excesivo y garantizar la libertad de los ciudadanos.</w:t>
      </w:r>
    </w:p>
    <w:p w14:paraId="3D643A35" w14:textId="77777777" w:rsidR="7A4171CF" w:rsidRPr="00985B97" w:rsidRDefault="7A4171CF" w:rsidP="00985B97">
      <w:pPr>
        <w:spacing w:after="16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 xml:space="preserve">No obstante, la teoría de la separación de poderes, ampliamente aceptada en el constitucionalismo moderno, e incorporada en la Constitución Política de Colombia de 1991, como se establece en los artículos 113 a 121, no será objeto de discusión en este marco teórico, dado su carácter canónico y su aplicación estructural al diseño del Estado colombiano. En su lugar, este trabajo, el cual se centrará en un enfoque que une la doctrina pura con la </w:t>
      </w:r>
      <w:r w:rsidRPr="00985B97">
        <w:rPr>
          <w:rFonts w:asciiTheme="majorHAnsi" w:hAnsiTheme="majorHAnsi" w:cstheme="majorHAnsi"/>
          <w:b/>
          <w:bCs/>
          <w:color w:val="000000" w:themeColor="text1"/>
          <w:lang w:val="es-ES"/>
        </w:rPr>
        <w:t>teoría de los pesos y contrapesos de estos poderes</w:t>
      </w:r>
      <w:r w:rsidRPr="00985B97">
        <w:rPr>
          <w:rFonts w:asciiTheme="majorHAnsi" w:hAnsiTheme="majorHAnsi" w:cstheme="majorHAnsi"/>
          <w:color w:val="000000" w:themeColor="text1"/>
          <w:lang w:val="es-ES"/>
        </w:rPr>
        <w:t xml:space="preserve"> (</w:t>
      </w:r>
      <w:proofErr w:type="spellStart"/>
      <w:r w:rsidRPr="00985B97">
        <w:rPr>
          <w:rFonts w:asciiTheme="majorHAnsi" w:hAnsiTheme="majorHAnsi" w:cstheme="majorHAnsi"/>
          <w:color w:val="000000" w:themeColor="text1"/>
          <w:lang w:val="es-ES"/>
        </w:rPr>
        <w:t>checks</w:t>
      </w:r>
      <w:proofErr w:type="spellEnd"/>
      <w:r w:rsidRPr="00985B97">
        <w:rPr>
          <w:rFonts w:asciiTheme="majorHAnsi" w:hAnsiTheme="majorHAnsi" w:cstheme="majorHAnsi"/>
          <w:color w:val="000000" w:themeColor="text1"/>
          <w:lang w:val="es-ES"/>
        </w:rPr>
        <w:t xml:space="preserve"> and balances), una noción que se introdujo en el constitucionalismo británico, francés y norteamericano </w:t>
      </w:r>
      <w:r w:rsidRPr="00985B97">
        <w:rPr>
          <w:rFonts w:asciiTheme="majorHAnsi" w:hAnsiTheme="majorHAnsi" w:cstheme="majorHAnsi"/>
          <w:color w:val="000000" w:themeColor="text1"/>
          <w:lang w:val="es-ES"/>
        </w:rPr>
        <w:lastRenderedPageBreak/>
        <w:t>(</w:t>
      </w:r>
      <w:proofErr w:type="spellStart"/>
      <w:r w:rsidRPr="00985B97">
        <w:rPr>
          <w:rFonts w:asciiTheme="majorHAnsi" w:hAnsiTheme="majorHAnsi" w:cstheme="majorHAnsi"/>
          <w:color w:val="000000" w:themeColor="text1"/>
          <w:lang w:val="es-ES"/>
        </w:rPr>
        <w:t>Negretto</w:t>
      </w:r>
      <w:proofErr w:type="spellEnd"/>
      <w:r w:rsidRPr="00985B97">
        <w:rPr>
          <w:rFonts w:asciiTheme="majorHAnsi" w:hAnsiTheme="majorHAnsi" w:cstheme="majorHAnsi"/>
          <w:color w:val="000000" w:themeColor="text1"/>
          <w:lang w:val="es-ES"/>
        </w:rPr>
        <w:t xml:space="preserve"> 2003, en Puyana, 2008; Rojas, 2022) y más adelante en América Latina, con algunas variaciones, a partir de la formulación del Estado desde las primeras constituciones.</w:t>
      </w:r>
    </w:p>
    <w:p w14:paraId="4919D6A6" w14:textId="77777777" w:rsidR="7A4171CF" w:rsidRPr="00985B97" w:rsidRDefault="7A4171CF" w:rsidP="00985B97">
      <w:pPr>
        <w:spacing w:after="16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Estas dos teorías permiten comprender que cada rama del poder tiene la competencia de interferir parcialmente en las funciones de las otras (</w:t>
      </w:r>
      <w:proofErr w:type="spellStart"/>
      <w:r w:rsidRPr="00985B97">
        <w:rPr>
          <w:rFonts w:asciiTheme="majorHAnsi" w:hAnsiTheme="majorHAnsi" w:cstheme="majorHAnsi"/>
          <w:color w:val="000000" w:themeColor="text1"/>
          <w:lang w:val="es-ES"/>
        </w:rPr>
        <w:t>Vile</w:t>
      </w:r>
      <w:proofErr w:type="spellEnd"/>
      <w:r w:rsidRPr="00985B97">
        <w:rPr>
          <w:rFonts w:asciiTheme="majorHAnsi" w:hAnsiTheme="majorHAnsi" w:cstheme="majorHAnsi"/>
          <w:color w:val="000000" w:themeColor="text1"/>
          <w:lang w:val="es-ES"/>
        </w:rPr>
        <w:t>, 2007), de manera tal que pueda ejercer un control efectivo de sus acciones, y, a su vez, el ejecutivo y el legislativo se ven obligados a cooperar, es decir, a construir acuerdos para el cumplimiento de sus objetivos institucionales y faciliten los objetivos individuales de otros actores en el funcionamiento del Estado social de derecho (Vargas, 1999 en: Uribe, 2021).</w:t>
      </w:r>
    </w:p>
    <w:p w14:paraId="7F4C7E82" w14:textId="77777777" w:rsidR="7A4171CF" w:rsidRPr="00985B97" w:rsidRDefault="7A4171CF" w:rsidP="00985B97">
      <w:pPr>
        <w:spacing w:after="16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 xml:space="preserve">Cabe resaltar que, la doctrina pura, es decir, aquella donde los órganos independientes ejercen funciones exclusivas, se distingue según </w:t>
      </w:r>
      <w:proofErr w:type="spellStart"/>
      <w:r w:rsidRPr="00985B97">
        <w:rPr>
          <w:rFonts w:asciiTheme="majorHAnsi" w:hAnsiTheme="majorHAnsi" w:cstheme="majorHAnsi"/>
          <w:color w:val="000000" w:themeColor="text1"/>
          <w:lang w:val="es-ES"/>
        </w:rPr>
        <w:t>Vile</w:t>
      </w:r>
      <w:proofErr w:type="spellEnd"/>
      <w:r w:rsidRPr="00985B97">
        <w:rPr>
          <w:rFonts w:asciiTheme="majorHAnsi" w:hAnsiTheme="majorHAnsi" w:cstheme="majorHAnsi"/>
          <w:color w:val="000000" w:themeColor="text1"/>
          <w:lang w:val="es-ES"/>
        </w:rPr>
        <w:t xml:space="preserve"> (2007) de las formulaciones mixtas históricas en las que se enmarcan los planteamientos teóricos de Locke o Montesquieu, haciendo énfasis en los mecanismos recíprocos de control para evitar las concentraciones de poder.</w:t>
      </w:r>
    </w:p>
    <w:p w14:paraId="349E4A1F" w14:textId="77777777" w:rsidR="7A4171CF" w:rsidRPr="00985B97" w:rsidRDefault="7A4171CF" w:rsidP="00985B97">
      <w:pPr>
        <w:spacing w:after="16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La idea del control entre las tres ramas del poder público también se ha apoyado en la idea de frenos y contrapesos (</w:t>
      </w:r>
      <w:proofErr w:type="spellStart"/>
      <w:r w:rsidRPr="00985B97">
        <w:rPr>
          <w:rFonts w:asciiTheme="majorHAnsi" w:hAnsiTheme="majorHAnsi" w:cstheme="majorHAnsi"/>
          <w:color w:val="000000" w:themeColor="text1"/>
          <w:lang w:val="es-ES"/>
        </w:rPr>
        <w:t>checks</w:t>
      </w:r>
      <w:proofErr w:type="spellEnd"/>
      <w:r w:rsidRPr="00985B97">
        <w:rPr>
          <w:rFonts w:asciiTheme="majorHAnsi" w:hAnsiTheme="majorHAnsi" w:cstheme="majorHAnsi"/>
          <w:color w:val="000000" w:themeColor="text1"/>
          <w:lang w:val="es-ES"/>
        </w:rPr>
        <w:t xml:space="preserve"> and balances), una noción que se introdujo primero en Estados Unidos, impulsado principalmente por el expresidente James Madison (</w:t>
      </w:r>
      <w:proofErr w:type="spellStart"/>
      <w:r w:rsidRPr="00985B97">
        <w:rPr>
          <w:rFonts w:asciiTheme="majorHAnsi" w:hAnsiTheme="majorHAnsi" w:cstheme="majorHAnsi"/>
          <w:color w:val="000000" w:themeColor="text1"/>
          <w:lang w:val="es-ES"/>
        </w:rPr>
        <w:t>Negretto</w:t>
      </w:r>
      <w:proofErr w:type="spellEnd"/>
      <w:r w:rsidRPr="00985B97">
        <w:rPr>
          <w:rFonts w:asciiTheme="majorHAnsi" w:hAnsiTheme="majorHAnsi" w:cstheme="majorHAnsi"/>
          <w:color w:val="000000" w:themeColor="text1"/>
          <w:lang w:val="es-ES"/>
        </w:rPr>
        <w:t xml:space="preserve"> 2003, en Puyana, 2008) y más adelante en América Latina, con algunas variaciones, a partir de la formulación del Estado desde las primeras constituciones. </w:t>
      </w:r>
    </w:p>
    <w:p w14:paraId="378E5BB5" w14:textId="77777777" w:rsidR="7A4171CF" w:rsidRPr="00985B97" w:rsidRDefault="7A4171CF" w:rsidP="00985B97">
      <w:pPr>
        <w:spacing w:after="16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 xml:space="preserve">A partir de ese concepto, O’Donnell (1998, p. 19 en Puyana, 2008, p. 65) introduce la definición de </w:t>
      </w:r>
      <w:proofErr w:type="spellStart"/>
      <w:r w:rsidRPr="00985B97">
        <w:rPr>
          <w:rFonts w:asciiTheme="majorHAnsi" w:hAnsiTheme="majorHAnsi" w:cstheme="majorHAnsi"/>
          <w:b/>
          <w:bCs/>
          <w:color w:val="000000" w:themeColor="text1"/>
          <w:lang w:val="es-ES"/>
        </w:rPr>
        <w:t>accountability</w:t>
      </w:r>
      <w:proofErr w:type="spellEnd"/>
      <w:r w:rsidRPr="00985B97">
        <w:rPr>
          <w:rFonts w:asciiTheme="majorHAnsi" w:hAnsiTheme="majorHAnsi" w:cstheme="majorHAnsi"/>
          <w:b/>
          <w:bCs/>
          <w:color w:val="000000" w:themeColor="text1"/>
          <w:lang w:val="es-ES"/>
        </w:rPr>
        <w:t xml:space="preserve"> horizontal</w:t>
      </w:r>
      <w:r w:rsidRPr="00985B97">
        <w:rPr>
          <w:rFonts w:asciiTheme="majorHAnsi" w:hAnsiTheme="majorHAnsi" w:cstheme="majorHAnsi"/>
          <w:color w:val="000000" w:themeColor="text1"/>
          <w:lang w:val="es-ES"/>
        </w:rPr>
        <w:t xml:space="preserve"> para referirse al control que ejercen entidades estatales entre sí, es decir,</w:t>
      </w:r>
    </w:p>
    <w:p w14:paraId="6B60FD6D" w14:textId="77777777" w:rsidR="7A4171CF" w:rsidRPr="00985B97" w:rsidRDefault="7A4171CF" w:rsidP="00985B97">
      <w:pPr>
        <w:spacing w:after="160"/>
        <w:ind w:left="708"/>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"la existencia de agencias estatales que tienen autoridad legal y están tácticamente dispuestas y capacitadas (</w:t>
      </w:r>
      <w:proofErr w:type="spellStart"/>
      <w:r w:rsidRPr="00985B97">
        <w:rPr>
          <w:rFonts w:asciiTheme="majorHAnsi" w:hAnsiTheme="majorHAnsi" w:cstheme="majorHAnsi"/>
          <w:color w:val="000000" w:themeColor="text1"/>
          <w:lang w:val="es-ES"/>
        </w:rPr>
        <w:t>empowered</w:t>
      </w:r>
      <w:proofErr w:type="spellEnd"/>
      <w:r w:rsidRPr="00985B97">
        <w:rPr>
          <w:rFonts w:asciiTheme="majorHAnsi" w:hAnsiTheme="majorHAnsi" w:cstheme="majorHAnsi"/>
          <w:color w:val="000000" w:themeColor="text1"/>
          <w:lang w:val="es-ES"/>
        </w:rPr>
        <w:t xml:space="preserve">) para emprender acciones que van desde el control rutinario hasta sanciones penales o incluso </w:t>
      </w:r>
      <w:proofErr w:type="spellStart"/>
      <w:r w:rsidRPr="00985B97">
        <w:rPr>
          <w:rFonts w:asciiTheme="majorHAnsi" w:hAnsiTheme="majorHAnsi" w:cstheme="majorHAnsi"/>
          <w:color w:val="000000" w:themeColor="text1"/>
          <w:lang w:val="es-ES"/>
        </w:rPr>
        <w:t>impeachment</w:t>
      </w:r>
      <w:proofErr w:type="spellEnd"/>
      <w:r w:rsidRPr="00985B97">
        <w:rPr>
          <w:rFonts w:asciiTheme="majorHAnsi" w:hAnsiTheme="majorHAnsi" w:cstheme="majorHAnsi"/>
          <w:color w:val="000000" w:themeColor="text1"/>
          <w:lang w:val="es-ES"/>
        </w:rPr>
        <w:t>, en relación con actos u omisiones de otros agentes o agencias del Estado que pueden, en principio o presuntamente, ser calificadas como ilícitos".</w:t>
      </w:r>
    </w:p>
    <w:p w14:paraId="02E7342A" w14:textId="77777777" w:rsidR="7A4171CF" w:rsidRPr="00985B97" w:rsidRDefault="7A4171CF" w:rsidP="00985B97">
      <w:pPr>
        <w:spacing w:after="16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 xml:space="preserve">El control surge a partir del diseño institucional del </w:t>
      </w:r>
      <w:proofErr w:type="spellStart"/>
      <w:r w:rsidRPr="00985B97">
        <w:rPr>
          <w:rFonts w:asciiTheme="majorHAnsi" w:hAnsiTheme="majorHAnsi" w:cstheme="majorHAnsi"/>
          <w:color w:val="000000" w:themeColor="text1"/>
          <w:lang w:val="es-ES"/>
        </w:rPr>
        <w:t>accountability</w:t>
      </w:r>
      <w:proofErr w:type="spellEnd"/>
      <w:r w:rsidRPr="00985B97">
        <w:rPr>
          <w:rFonts w:asciiTheme="majorHAnsi" w:hAnsiTheme="majorHAnsi" w:cstheme="majorHAnsi"/>
          <w:color w:val="000000" w:themeColor="text1"/>
          <w:lang w:val="es-ES"/>
        </w:rPr>
        <w:t xml:space="preserve"> horizontal y puede ejercerse de dos formas (Sartori, 1987, en Puyana, 2008): bien sea como control jurídico o como control político. El primero de ellos alude a la participación del Congreso en el diseño de las políticas, mientras que el segundo se refiere al control sobre su implementación.</w:t>
      </w:r>
    </w:p>
    <w:p w14:paraId="7AC8E295" w14:textId="77777777" w:rsidR="7A4171CF" w:rsidRPr="00985B97" w:rsidRDefault="7A4171CF" w:rsidP="00985B97">
      <w:pPr>
        <w:spacing w:after="16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lastRenderedPageBreak/>
        <w:t>A nivel latinoamericano, el estudio del control entre las ramas del poder público para prevenir la concentración de poderes ha tenido especial énfasis en el abordaje del presidencialismo. De esta forma, Freitas (2016, en Uribe, 2021) explica que el poder del ejecutivo suele asociarse a la materialización del éxito de la agenda legislativa que plantea, lo que plantea el debate sobre cuál es el rol del legislativo en una democracia. No obstante, el autor señala que, si bien los poderes del presidente tienen la capacidad de alterar los incentivos del legislativo, el resultado del proceso legislativo obedece a otra cuestión, porque, aunque los primeros faciliten la formación de coaliciones en el proceso, los legisladores tienen la posibilidad de declararse en oposición y alterar los proyectos de ley que nacen por iniciativa del ejecutivo, por lo que, no necesariamente un ejecutivo fuerte implica la existencia de un legislativo débil.</w:t>
      </w:r>
    </w:p>
    <w:p w14:paraId="07A9583C" w14:textId="77777777" w:rsidR="7A4171CF" w:rsidRPr="00985B97" w:rsidRDefault="7A4171CF" w:rsidP="00985B97">
      <w:pPr>
        <w:spacing w:after="16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 xml:space="preserve">El control político que ejerce el Congreso de la República sobre el gobierno y la administración (CP, art. 114) se caracteriza principalmente por su carácter subjetivo, en tanto parte de la confianza y oportunidad entre el Congreso y el </w:t>
      </w:r>
      <w:r w:rsidR="001D4B0A" w:rsidRPr="00985B97">
        <w:rPr>
          <w:rFonts w:asciiTheme="majorHAnsi" w:hAnsiTheme="majorHAnsi" w:cstheme="majorHAnsi"/>
          <w:color w:val="000000" w:themeColor="text1"/>
          <w:lang w:val="es-ES"/>
        </w:rPr>
        <w:t>ejecutivo</w:t>
      </w:r>
      <w:r w:rsidRPr="00985B97">
        <w:rPr>
          <w:rFonts w:asciiTheme="majorHAnsi" w:hAnsiTheme="majorHAnsi" w:cstheme="majorHAnsi"/>
          <w:color w:val="000000" w:themeColor="text1"/>
          <w:lang w:val="es-ES"/>
        </w:rPr>
        <w:t>, y su valoración se basa en la libre apreciación de quien juzga, realizando una interpretación política sustentada en diversas motivaciones (Rojas, 2022). Este control se presenta a través de mecanismos como citaciones ministeriales, requerimiento de informes de gestión periódicos, mociones de censura, debates de control político, audiencias públicas y la revisión del presupuesto, entre otros.</w:t>
      </w:r>
    </w:p>
    <w:p w14:paraId="06AAA1C9" w14:textId="77777777" w:rsidR="7A4171CF" w:rsidRPr="00985B97" w:rsidRDefault="7A4171CF" w:rsidP="00985B97">
      <w:pPr>
        <w:pStyle w:val="Ttulo3"/>
        <w:rPr>
          <w:rFonts w:asciiTheme="majorHAnsi" w:hAnsiTheme="majorHAnsi" w:cstheme="majorHAnsi"/>
          <w:sz w:val="22"/>
          <w:szCs w:val="22"/>
        </w:rPr>
      </w:pPr>
      <w:bookmarkStart w:id="123" w:name="_Toc235092548"/>
      <w:bookmarkStart w:id="124" w:name="_Toc235107992"/>
      <w:r w:rsidRPr="00985B97">
        <w:rPr>
          <w:rFonts w:asciiTheme="majorHAnsi" w:hAnsiTheme="majorHAnsi" w:cstheme="majorHAnsi"/>
          <w:sz w:val="22"/>
          <w:szCs w:val="22"/>
          <w:lang w:val="es-ES"/>
        </w:rPr>
        <w:t>Relación ejecutivo-legislativo</w:t>
      </w:r>
      <w:bookmarkEnd w:id="123"/>
      <w:bookmarkEnd w:id="124"/>
    </w:p>
    <w:p w14:paraId="5B0D4108" w14:textId="77777777" w:rsidR="7A4171CF" w:rsidRPr="00985B97" w:rsidRDefault="7A4171CF" w:rsidP="00985B97">
      <w:pPr>
        <w:spacing w:after="16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El estudio de las relaciones entre el ejecutivo y el legislativo en Latinoamérica tiene un abordaje importante a partir de los años 90, con la literatura enfocada en los sistemas políticos. Entre las investigaciones más relevantes sobre el tema se encuentra el estudio de Linz (1990, en Puyana, 2008), que aseguró que la inestabilidad de la región se debía a la difícil interacción entre estas ramas del poder. De acuerdo con este autor, la "legitimidad democrática dual" derivada de la elección popular del presidente y del congreso, así como la rigidez del sistema, producto de la elección de ambos poderes para un período fijo, conlleva a un conflicto latente entre ambas autoridades, el cual podía terminar en parálisis legislativa ocasionado por un choque de competencias y legitimidades.</w:t>
      </w:r>
    </w:p>
    <w:p w14:paraId="2684C5C5" w14:textId="77777777" w:rsidR="7A4171CF" w:rsidRPr="00985B97" w:rsidRDefault="7A4171CF" w:rsidP="00985B97">
      <w:pPr>
        <w:spacing w:after="16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 xml:space="preserve">Por otro lado, Cox y Morgenstern (1998, en Puyana, 2008) encontraron que la influencia del Congreso en la toma de decisiones es de gran importancia no solo para el poder presidencial, sino para la </w:t>
      </w:r>
      <w:r w:rsidRPr="00985B97">
        <w:rPr>
          <w:rFonts w:asciiTheme="majorHAnsi" w:hAnsiTheme="majorHAnsi" w:cstheme="majorHAnsi"/>
          <w:color w:val="000000" w:themeColor="text1"/>
          <w:lang w:val="es-ES"/>
        </w:rPr>
        <w:lastRenderedPageBreak/>
        <w:t>administración de turno en general, dado que los presidentes tienden a gobernar mediante el legislativo para desarrollar sus políticas, y no en su contra.</w:t>
      </w:r>
    </w:p>
    <w:p w14:paraId="4EA3E5B1" w14:textId="77777777" w:rsidR="7A4171CF" w:rsidRPr="00985B97" w:rsidRDefault="7A4171CF" w:rsidP="00985B97">
      <w:pPr>
        <w:spacing w:after="16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Además de esto, para los investigadores (Cox y Morgenstern, 1998, en Puyana, 2008) la incidencia del Congreso en el proceso de legislar está dada por su capacidad reactiva de condicionar las propuestas presentadas por el ejecutivo mediante una especie de "juego bilateral de vetos", que se da de la siguiente manera: primero, el presidente hace sus propuestas de ley; segundo, el legislativo puede aceptar, enmendar o rechazar dichas propuestas; tercero, si el legislativo las enmienda o las rechaza, el presidente puede hacer concesiones de política o gobernar por decreto.</w:t>
      </w:r>
    </w:p>
    <w:p w14:paraId="00AF89F3" w14:textId="77777777" w:rsidR="7A4171CF" w:rsidRPr="00985B97" w:rsidRDefault="7A4171CF" w:rsidP="00985B97">
      <w:pPr>
        <w:spacing w:after="16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Frente a este panorama, el presidente puede encontrarse con cuatro tipos de legislatura (Cox y Morgenstern, 1998, en Puyana, 2008): recalcitrante, negociadora, parroquial-venal o subordinada. En la primera, el legislativo es rechazará todas las propuestas del presidente, mientras que, en la cuarta, el Congreso le aceptará todas las propuestas. En medio de los extremos se hacen posibles una legislatura negociadora, que exige tener voz y voto a la hora de establecer un diálogo constructivo, o una parroquial, que podría llegar a exigir beneficios a cambio de concesiones de política.</w:t>
      </w:r>
    </w:p>
    <w:p w14:paraId="694BF02A" w14:textId="77777777" w:rsidR="7A4171CF" w:rsidRPr="00985B97" w:rsidRDefault="7A4171CF" w:rsidP="00985B97">
      <w:pPr>
        <w:spacing w:after="16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 xml:space="preserve">En un sistema democrático como el colombiano, los mecanismos de gobernanza de las relaciones contractuales pueden llegar a determinar la mediación entre la agenda del legislativo y la agenda del ejecutivo, y, por ende, la formulación de normas, planes o políticas estatales. Por ello, comprender las transacciones políticas implica aceptar que la información en medio de la transacción implica unos costos, que los acuerdos no siempre se cumplirán y que los actores usan modelos subjetivos para explicar el entorno (North, 1990b, en, Arias y Caballero, 2003). </w:t>
      </w:r>
    </w:p>
    <w:p w14:paraId="214960A4" w14:textId="77777777" w:rsidR="7A4171CF" w:rsidRPr="00985B97" w:rsidRDefault="7A4171CF" w:rsidP="00985B97">
      <w:pPr>
        <w:spacing w:after="16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La negociación entre el ejecutivo y el legislativo en el arreglo institucional, puede entenderse</w:t>
      </w:r>
      <w:r w:rsidR="541DC8B5" w:rsidRPr="00985B97">
        <w:rPr>
          <w:rFonts w:asciiTheme="majorHAnsi" w:hAnsiTheme="majorHAnsi" w:cstheme="majorHAnsi"/>
          <w:color w:val="000000" w:themeColor="text1"/>
          <w:lang w:val="es-ES"/>
        </w:rPr>
        <w:t xml:space="preserve"> mediante la </w:t>
      </w:r>
      <w:r w:rsidR="541DC8B5" w:rsidRPr="00985B97">
        <w:rPr>
          <w:rFonts w:asciiTheme="majorHAnsi" w:hAnsiTheme="majorHAnsi" w:cstheme="majorHAnsi"/>
          <w:b/>
          <w:bCs/>
          <w:color w:val="000000" w:themeColor="text1"/>
          <w:lang w:val="es-ES"/>
        </w:rPr>
        <w:t>teoría de los costos transaccionales</w:t>
      </w:r>
      <w:r w:rsidR="541DC8B5" w:rsidRPr="00985B97">
        <w:rPr>
          <w:rFonts w:asciiTheme="majorHAnsi" w:hAnsiTheme="majorHAnsi" w:cstheme="majorHAnsi"/>
          <w:color w:val="000000" w:themeColor="text1"/>
          <w:lang w:val="es-ES"/>
        </w:rPr>
        <w:t xml:space="preserve">, que proviene del </w:t>
      </w:r>
      <w:proofErr w:type="spellStart"/>
      <w:r w:rsidR="541DC8B5" w:rsidRPr="00985B97">
        <w:rPr>
          <w:rFonts w:asciiTheme="majorHAnsi" w:hAnsiTheme="majorHAnsi" w:cstheme="majorHAnsi"/>
          <w:color w:val="000000" w:themeColor="text1"/>
          <w:lang w:val="es-ES"/>
        </w:rPr>
        <w:t>neoinstitucionalismo</w:t>
      </w:r>
      <w:proofErr w:type="spellEnd"/>
      <w:r w:rsidR="541DC8B5" w:rsidRPr="00985B97">
        <w:rPr>
          <w:rFonts w:asciiTheme="majorHAnsi" w:hAnsiTheme="majorHAnsi" w:cstheme="majorHAnsi"/>
          <w:color w:val="000000" w:themeColor="text1"/>
          <w:lang w:val="es-ES"/>
        </w:rPr>
        <w:t xml:space="preserve"> económico (NEI)</w:t>
      </w:r>
      <w:r w:rsidRPr="00985B97">
        <w:rPr>
          <w:rFonts w:asciiTheme="majorHAnsi" w:hAnsiTheme="majorHAnsi" w:cstheme="majorHAnsi"/>
          <w:color w:val="000000" w:themeColor="text1"/>
          <w:lang w:val="es-ES"/>
        </w:rPr>
        <w:t>, que estudia</w:t>
      </w:r>
      <w:r w:rsidR="22DD23B2" w:rsidRPr="00985B97">
        <w:rPr>
          <w:rFonts w:asciiTheme="majorHAnsi" w:hAnsiTheme="majorHAnsi" w:cstheme="majorHAnsi"/>
          <w:color w:val="000000" w:themeColor="text1"/>
          <w:lang w:val="es-ES"/>
        </w:rPr>
        <w:t xml:space="preserve"> </w:t>
      </w:r>
      <w:r w:rsidRPr="00985B97">
        <w:rPr>
          <w:rFonts w:asciiTheme="majorHAnsi" w:hAnsiTheme="majorHAnsi" w:cstheme="majorHAnsi"/>
          <w:color w:val="000000" w:themeColor="text1"/>
          <w:lang w:val="es-ES"/>
        </w:rPr>
        <w:t>la transferencia de derechos entre instituciones, entendidas como reglas de juego entre actores.</w:t>
      </w:r>
      <w:r w:rsidR="70723E40" w:rsidRPr="00985B97">
        <w:rPr>
          <w:rFonts w:asciiTheme="majorHAnsi" w:hAnsiTheme="majorHAnsi" w:cstheme="majorHAnsi"/>
          <w:color w:val="000000" w:themeColor="text1"/>
          <w:lang w:val="es-ES"/>
        </w:rPr>
        <w:t xml:space="preserve"> </w:t>
      </w:r>
      <w:r w:rsidRPr="00985B97">
        <w:rPr>
          <w:rFonts w:asciiTheme="majorHAnsi" w:hAnsiTheme="majorHAnsi" w:cstheme="majorHAnsi"/>
          <w:color w:val="000000" w:themeColor="text1"/>
          <w:lang w:val="es-ES"/>
        </w:rPr>
        <w:t xml:space="preserve">De acuerdo con estos postulados, existen “acuerdos </w:t>
      </w:r>
      <w:proofErr w:type="spellStart"/>
      <w:r w:rsidRPr="00985B97">
        <w:rPr>
          <w:rFonts w:asciiTheme="majorHAnsi" w:hAnsiTheme="majorHAnsi" w:cstheme="majorHAnsi"/>
          <w:color w:val="000000" w:themeColor="text1"/>
          <w:lang w:val="es-ES"/>
        </w:rPr>
        <w:t>ex-ante</w:t>
      </w:r>
      <w:proofErr w:type="spellEnd"/>
      <w:r w:rsidRPr="00985B97">
        <w:rPr>
          <w:rFonts w:asciiTheme="majorHAnsi" w:hAnsiTheme="majorHAnsi" w:cstheme="majorHAnsi"/>
          <w:color w:val="000000" w:themeColor="text1"/>
          <w:lang w:val="es-ES"/>
        </w:rPr>
        <w:t xml:space="preserve"> de cooperación entre políticos”, en</w:t>
      </w:r>
      <w:r w:rsidR="70723E40" w:rsidRPr="00985B97">
        <w:rPr>
          <w:rFonts w:asciiTheme="majorHAnsi" w:hAnsiTheme="majorHAnsi" w:cstheme="majorHAnsi"/>
          <w:color w:val="000000" w:themeColor="text1"/>
          <w:lang w:val="es-ES"/>
        </w:rPr>
        <w:t xml:space="preserve"> </w:t>
      </w:r>
      <w:r w:rsidRPr="00985B97">
        <w:rPr>
          <w:rFonts w:asciiTheme="majorHAnsi" w:hAnsiTheme="majorHAnsi" w:cstheme="majorHAnsi"/>
          <w:color w:val="000000" w:themeColor="text1"/>
          <w:lang w:val="es-ES"/>
        </w:rPr>
        <w:t>los cuales existen reglas de juego para efectuar transacciones políticas en el tiempo y en el</w:t>
      </w:r>
      <w:r w:rsidR="70F62FA3" w:rsidRPr="00985B97">
        <w:rPr>
          <w:rFonts w:asciiTheme="majorHAnsi" w:hAnsiTheme="majorHAnsi" w:cstheme="majorHAnsi"/>
          <w:color w:val="000000" w:themeColor="text1"/>
          <w:lang w:val="es-ES"/>
        </w:rPr>
        <w:t xml:space="preserve"> </w:t>
      </w:r>
      <w:r w:rsidRPr="00985B97">
        <w:rPr>
          <w:rFonts w:asciiTheme="majorHAnsi" w:hAnsiTheme="majorHAnsi" w:cstheme="majorHAnsi"/>
          <w:color w:val="000000" w:themeColor="text1"/>
          <w:lang w:val="es-ES"/>
        </w:rPr>
        <w:t>espacio, dentro de este intercambio de derechos (North,1990b, en Arias y Caballero, 2003).</w:t>
      </w:r>
    </w:p>
    <w:p w14:paraId="170D294E" w14:textId="77777777" w:rsidR="7A4171CF" w:rsidRPr="00985B97" w:rsidRDefault="7A4171CF" w:rsidP="00985B97">
      <w:pPr>
        <w:spacing w:after="16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lastRenderedPageBreak/>
        <w:t>Investigadores como Juárez (2023) abordan la relación ejecutivo-legislativo en un contexto de gobierno dividido, es decir, cuando éstas no están de acuerdo, mostrando que, si bien el control partidista del poder ejecutivo y legislativo no es necesariamente garantía de un buen gobierno, la división del control del partido impide un gobierno exitoso. De igual forma, en un escenario en el que el partido que tiene las mayorías en el congreso presente un conflicto permanente con el partido que ocupa el ejecutivo, siempre se presentarán bloqueos o inconvenientes en la aprobación de la agenda, y será difícil desarrollar políticas en beneficio de la población.</w:t>
      </w:r>
    </w:p>
    <w:p w14:paraId="6EF651E0" w14:textId="77777777" w:rsidR="7A4171CF" w:rsidRPr="00985B97" w:rsidRDefault="7A4171CF" w:rsidP="00985B97">
      <w:pPr>
        <w:spacing w:before="240" w:after="24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 xml:space="preserve">De esta forma, para hablar del desarrollo del juego político, esta investigación abordará la noción de </w:t>
      </w:r>
      <w:r w:rsidRPr="00985B97">
        <w:rPr>
          <w:rFonts w:asciiTheme="majorHAnsi" w:hAnsiTheme="majorHAnsi" w:cstheme="majorHAnsi"/>
          <w:b/>
          <w:bCs/>
          <w:color w:val="000000" w:themeColor="text1"/>
          <w:lang w:val="es-ES"/>
        </w:rPr>
        <w:t xml:space="preserve">análisis político de los costos de transacción (APCT) </w:t>
      </w:r>
      <w:r w:rsidRPr="00985B97">
        <w:rPr>
          <w:rFonts w:asciiTheme="majorHAnsi" w:hAnsiTheme="majorHAnsi" w:cstheme="majorHAnsi"/>
          <w:color w:val="000000" w:themeColor="text1"/>
          <w:lang w:val="es-ES"/>
        </w:rPr>
        <w:t>como un enfoque analítico para interpretar los fenómenos políticos. El APCT se basa en cinco principios (Arias y Caballero, 2003): en primer lugar, la visión transaccional concibe la interacción política como un entramado de relaciones de carácter contractual. En segundo lugar, las instituciones se entienden como reglas que estructuran el juego político y que, al configurar los incentivos de los actores, influyen de manera decisiva en los resultados de las políticas públicas. En tercer lugar, la relación causal entre instituciones y resultados se explica a través de las formas de ejercicio de la autoridad (</w:t>
      </w:r>
      <w:proofErr w:type="spellStart"/>
      <w:r w:rsidRPr="00985B97">
        <w:rPr>
          <w:rFonts w:asciiTheme="majorHAnsi" w:hAnsiTheme="majorHAnsi" w:cstheme="majorHAnsi"/>
          <w:i/>
          <w:iCs/>
          <w:color w:val="000000" w:themeColor="text1"/>
          <w:lang w:val="es-ES"/>
        </w:rPr>
        <w:t>governance</w:t>
      </w:r>
      <w:proofErr w:type="spellEnd"/>
      <w:r w:rsidRPr="00985B97">
        <w:rPr>
          <w:rFonts w:asciiTheme="majorHAnsi" w:hAnsiTheme="majorHAnsi" w:cstheme="majorHAnsi"/>
          <w:color w:val="000000" w:themeColor="text1"/>
          <w:lang w:val="es-ES"/>
        </w:rPr>
        <w:t>), es decir, los mecanismos y normas que regulan la organización de los participantes en dicho juego.</w:t>
      </w:r>
    </w:p>
    <w:p w14:paraId="7AAFF595" w14:textId="77777777" w:rsidR="7A4171CF" w:rsidRPr="00985B97" w:rsidRDefault="7A4171CF" w:rsidP="00985B97">
      <w:pPr>
        <w:spacing w:before="240" w:after="24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 xml:space="preserve">Asimismo, se plantea que los costos de transacción suelen ser más elevados en el ámbito político que en el económico, lo que hace más complejo el diseño de estructuras institucionales eficientes. Otro principio relevante es la incorporación de una perspectiva </w:t>
      </w:r>
      <w:proofErr w:type="spellStart"/>
      <w:r w:rsidRPr="00985B97">
        <w:rPr>
          <w:rFonts w:asciiTheme="majorHAnsi" w:hAnsiTheme="majorHAnsi" w:cstheme="majorHAnsi"/>
          <w:color w:val="000000" w:themeColor="text1"/>
          <w:lang w:val="es-ES"/>
        </w:rPr>
        <w:t>intertemporal</w:t>
      </w:r>
      <w:proofErr w:type="spellEnd"/>
      <w:r w:rsidRPr="00985B97">
        <w:rPr>
          <w:rFonts w:asciiTheme="majorHAnsi" w:hAnsiTheme="majorHAnsi" w:cstheme="majorHAnsi"/>
          <w:color w:val="000000" w:themeColor="text1"/>
          <w:lang w:val="es-ES"/>
        </w:rPr>
        <w:t>, que concibe las políticas públicas como el producto de una secuencia de transacciones políticas a lo largo del tiempo, donde resulta fundamental el alineamiento temporal de los incentivos de los actores. Finalmente, el compromiso adquiere un papel central en la búsqueda de eficiencia institucional, lo que otorga relevancia al capital reputacional y a las formas organizativas del Estado.</w:t>
      </w:r>
    </w:p>
    <w:p w14:paraId="4B6D5508" w14:textId="77777777" w:rsidR="7A4171CF" w:rsidRPr="00985B97" w:rsidRDefault="7A4171CF" w:rsidP="00985B97">
      <w:pPr>
        <w:spacing w:before="240" w:after="24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 xml:space="preserve">El sistema de partidos constituye una variable clave para comprender la manera en que ciertos actores, logran ejercer poder de veto en el ámbito legislativo. Su grado de concentración depende en gran medida del diseño electoral: cuando éste es representativo y se organiza en distritos amplios, el sistema tiende a ser “débil”, en la medida en que existen pocos incentivos para la formación de coaliciones; en cambio, si los sistemas mayoritarios con distritos pequeños, estos se consideran “fuertes” porque promueven </w:t>
      </w:r>
      <w:r w:rsidRPr="00985B97">
        <w:rPr>
          <w:rFonts w:asciiTheme="majorHAnsi" w:hAnsiTheme="majorHAnsi" w:cstheme="majorHAnsi"/>
          <w:color w:val="000000" w:themeColor="text1"/>
          <w:lang w:val="es-ES"/>
        </w:rPr>
        <w:lastRenderedPageBreak/>
        <w:t xml:space="preserve">mayores incentivos para la cooperación electoral. En consecuencia, cada configuración institucional determina el número de partidos en competencia y, a medida que este aumenta, también se incrementan los costos de transacción y las posibilidades de bloqueo en la toma de decisiones para el ejecutivo (Cox y </w:t>
      </w:r>
      <w:proofErr w:type="spellStart"/>
      <w:r w:rsidRPr="00985B97">
        <w:rPr>
          <w:rFonts w:asciiTheme="majorHAnsi" w:hAnsiTheme="majorHAnsi" w:cstheme="majorHAnsi"/>
          <w:color w:val="000000" w:themeColor="text1"/>
          <w:lang w:val="es-ES"/>
        </w:rPr>
        <w:t>McCubbins</w:t>
      </w:r>
      <w:proofErr w:type="spellEnd"/>
      <w:r w:rsidRPr="00985B97">
        <w:rPr>
          <w:rFonts w:asciiTheme="majorHAnsi" w:hAnsiTheme="majorHAnsi" w:cstheme="majorHAnsi"/>
          <w:color w:val="000000" w:themeColor="text1"/>
          <w:lang w:val="es-ES"/>
        </w:rPr>
        <w:t xml:space="preserve">, 1999, en Arias y Caballero, 2003). </w:t>
      </w:r>
    </w:p>
    <w:p w14:paraId="3C63F025" w14:textId="77777777" w:rsidR="7A4171CF" w:rsidRPr="00985B97" w:rsidRDefault="7A4171CF" w:rsidP="00985B97">
      <w:pPr>
        <w:spacing w:before="240" w:after="240"/>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t>Para el caso colombiano, el Congreso está compuesto por múltiples partidos con representación significativa, lo que implica que ninguno de ellos controla por sí solo las mayorías. Esto otorga a partidos medianos o pequeños la capacidad de frenar iniciativas si no se negocia con ellos y, lo que incrementa los costos de transacción política y puede llegar a traducirse en problemas para la aprobación de leyes y bloqueos al ejecutivo, como ha sucedido con las iniciativas en el marco de la transición energética.</w:t>
      </w:r>
    </w:p>
    <w:p w14:paraId="610085EB" w14:textId="77777777" w:rsidR="0053122B" w:rsidRPr="00985B97" w:rsidRDefault="0053122B" w:rsidP="00985B97">
      <w:pPr>
        <w:pStyle w:val="Ttulo3"/>
        <w:rPr>
          <w:rFonts w:asciiTheme="majorHAnsi" w:hAnsiTheme="majorHAnsi" w:cstheme="majorHAnsi"/>
          <w:sz w:val="22"/>
          <w:szCs w:val="22"/>
        </w:rPr>
      </w:pPr>
      <w:bookmarkStart w:id="125" w:name="_Toc235092549"/>
      <w:bookmarkStart w:id="126" w:name="_Toc235107993"/>
      <w:r w:rsidRPr="00985B97">
        <w:rPr>
          <w:rFonts w:asciiTheme="majorHAnsi" w:hAnsiTheme="majorHAnsi" w:cstheme="majorHAnsi"/>
          <w:sz w:val="22"/>
          <w:szCs w:val="22"/>
        </w:rPr>
        <w:t xml:space="preserve">Teoría de veto </w:t>
      </w:r>
      <w:proofErr w:type="spellStart"/>
      <w:r w:rsidRPr="00985B97">
        <w:rPr>
          <w:rFonts w:asciiTheme="majorHAnsi" w:hAnsiTheme="majorHAnsi" w:cstheme="majorHAnsi"/>
          <w:sz w:val="22"/>
          <w:szCs w:val="22"/>
        </w:rPr>
        <w:t>players</w:t>
      </w:r>
      <w:bookmarkEnd w:id="125"/>
      <w:bookmarkEnd w:id="126"/>
      <w:proofErr w:type="spellEnd"/>
    </w:p>
    <w:p w14:paraId="6C1E7756" w14:textId="77777777" w:rsidR="0053122B" w:rsidRPr="00985B97" w:rsidRDefault="0053122B" w:rsidP="00985B97">
      <w:pPr>
        <w:spacing w:before="240" w:after="240"/>
        <w:jc w:val="both"/>
        <w:rPr>
          <w:rFonts w:asciiTheme="majorHAnsi" w:hAnsiTheme="majorHAnsi" w:cstheme="majorHAnsi"/>
          <w:color w:val="000000" w:themeColor="text1"/>
        </w:rPr>
      </w:pPr>
      <w:r w:rsidRPr="00985B97">
        <w:rPr>
          <w:rFonts w:asciiTheme="majorHAnsi" w:hAnsiTheme="majorHAnsi" w:cstheme="majorHAnsi"/>
          <w:color w:val="000000" w:themeColor="text1"/>
        </w:rPr>
        <w:t xml:space="preserve">La dinámica de bloqueo y negociación descrita por el juego bilateral de vetos de Cox y Morgenstern (1998, en Puyana, 2008) y por el APCT encuentra un desarrollo teórico más formal en la teoría </w:t>
      </w:r>
      <w:proofErr w:type="gramStart"/>
      <w:r w:rsidRPr="00985B97">
        <w:rPr>
          <w:rFonts w:asciiTheme="majorHAnsi" w:hAnsiTheme="majorHAnsi" w:cstheme="majorHAnsi"/>
          <w:color w:val="000000" w:themeColor="text1"/>
        </w:rPr>
        <w:t>de los veto</w:t>
      </w:r>
      <w:proofErr w:type="gramEnd"/>
      <w:r w:rsidRPr="00985B97">
        <w:rPr>
          <w:rFonts w:asciiTheme="majorHAnsi" w:hAnsiTheme="majorHAnsi" w:cstheme="majorHAnsi"/>
          <w:color w:val="000000" w:themeColor="text1"/>
        </w:rPr>
        <w:t xml:space="preserve"> </w:t>
      </w:r>
      <w:proofErr w:type="spellStart"/>
      <w:r w:rsidRPr="00985B97">
        <w:rPr>
          <w:rFonts w:asciiTheme="majorHAnsi" w:hAnsiTheme="majorHAnsi" w:cstheme="majorHAnsi"/>
          <w:color w:val="000000" w:themeColor="text1"/>
        </w:rPr>
        <w:t>players</w:t>
      </w:r>
      <w:proofErr w:type="spellEnd"/>
      <w:r w:rsidRPr="00985B97">
        <w:rPr>
          <w:rFonts w:asciiTheme="majorHAnsi" w:hAnsiTheme="majorHAnsi" w:cstheme="majorHAnsi"/>
          <w:color w:val="000000" w:themeColor="text1"/>
        </w:rPr>
        <w:t xml:space="preserve"> de </w:t>
      </w:r>
      <w:proofErr w:type="spellStart"/>
      <w:r w:rsidRPr="00985B97">
        <w:rPr>
          <w:rFonts w:asciiTheme="majorHAnsi" w:hAnsiTheme="majorHAnsi" w:cstheme="majorHAnsi"/>
          <w:color w:val="000000" w:themeColor="text1"/>
        </w:rPr>
        <w:t>Tsebelis</w:t>
      </w:r>
      <w:proofErr w:type="spellEnd"/>
      <w:r w:rsidRPr="00985B97">
        <w:rPr>
          <w:rFonts w:asciiTheme="majorHAnsi" w:hAnsiTheme="majorHAnsi" w:cstheme="majorHAnsi"/>
          <w:color w:val="000000" w:themeColor="text1"/>
        </w:rPr>
        <w:t xml:space="preserve"> (1995, 2002). De acuerdo con este autor, un veto </w:t>
      </w:r>
      <w:proofErr w:type="spellStart"/>
      <w:r w:rsidRPr="00985B97">
        <w:rPr>
          <w:rFonts w:asciiTheme="majorHAnsi" w:hAnsiTheme="majorHAnsi" w:cstheme="majorHAnsi"/>
          <w:color w:val="000000" w:themeColor="text1"/>
        </w:rPr>
        <w:t>player</w:t>
      </w:r>
      <w:proofErr w:type="spellEnd"/>
      <w:r w:rsidRPr="00985B97">
        <w:rPr>
          <w:rFonts w:asciiTheme="majorHAnsi" w:hAnsiTheme="majorHAnsi" w:cstheme="majorHAnsi"/>
          <w:color w:val="000000" w:themeColor="text1"/>
        </w:rPr>
        <w:t xml:space="preserve"> es todo actor individual o colectivo cuyo acuerdo —por mayoría, en el caso de los actores colectivos— resulta necesario para modificar el statu quo de una política pública. </w:t>
      </w:r>
      <w:proofErr w:type="spellStart"/>
      <w:r w:rsidRPr="00985B97">
        <w:rPr>
          <w:rFonts w:asciiTheme="majorHAnsi" w:hAnsiTheme="majorHAnsi" w:cstheme="majorHAnsi"/>
          <w:color w:val="000000" w:themeColor="text1"/>
        </w:rPr>
        <w:t>Tsebelis</w:t>
      </w:r>
      <w:proofErr w:type="spellEnd"/>
      <w:r w:rsidRPr="00985B97">
        <w:rPr>
          <w:rFonts w:asciiTheme="majorHAnsi" w:hAnsiTheme="majorHAnsi" w:cstheme="majorHAnsi"/>
          <w:color w:val="000000" w:themeColor="text1"/>
        </w:rPr>
        <w:t xml:space="preserve"> (1995) distingue entre veto </w:t>
      </w:r>
      <w:proofErr w:type="spellStart"/>
      <w:r w:rsidRPr="00985B97">
        <w:rPr>
          <w:rFonts w:asciiTheme="majorHAnsi" w:hAnsiTheme="majorHAnsi" w:cstheme="majorHAnsi"/>
          <w:color w:val="000000" w:themeColor="text1"/>
        </w:rPr>
        <w:t>players</w:t>
      </w:r>
      <w:proofErr w:type="spellEnd"/>
      <w:r w:rsidRPr="00985B97">
        <w:rPr>
          <w:rFonts w:asciiTheme="majorHAnsi" w:hAnsiTheme="majorHAnsi" w:cstheme="majorHAnsi"/>
          <w:color w:val="000000" w:themeColor="text1"/>
        </w:rPr>
        <w:t xml:space="preserve"> institucionales, definidos por el diseño constitucional (presidente, cámaras legislativas, tribunales con competencia de revisión), y veto </w:t>
      </w:r>
      <w:proofErr w:type="spellStart"/>
      <w:r w:rsidRPr="00985B97">
        <w:rPr>
          <w:rFonts w:asciiTheme="majorHAnsi" w:hAnsiTheme="majorHAnsi" w:cstheme="majorHAnsi"/>
          <w:color w:val="000000" w:themeColor="text1"/>
        </w:rPr>
        <w:t>players</w:t>
      </w:r>
      <w:proofErr w:type="spellEnd"/>
      <w:r w:rsidRPr="00985B97">
        <w:rPr>
          <w:rFonts w:asciiTheme="majorHAnsi" w:hAnsiTheme="majorHAnsi" w:cstheme="majorHAnsi"/>
          <w:color w:val="000000" w:themeColor="text1"/>
        </w:rPr>
        <w:t xml:space="preserve"> partidistas, que emergen de la composición de las coaliciones de gobierno o de la fragmentación del sistema de partidos.</w:t>
      </w:r>
    </w:p>
    <w:p w14:paraId="67D51ED1" w14:textId="77777777" w:rsidR="0053122B" w:rsidRPr="00985B97" w:rsidRDefault="0053122B" w:rsidP="00985B97">
      <w:pPr>
        <w:spacing w:before="240" w:after="240"/>
        <w:jc w:val="both"/>
        <w:rPr>
          <w:rFonts w:asciiTheme="majorHAnsi" w:hAnsiTheme="majorHAnsi" w:cstheme="majorHAnsi"/>
          <w:color w:val="000000" w:themeColor="text1"/>
        </w:rPr>
      </w:pPr>
      <w:r w:rsidRPr="00985B97">
        <w:rPr>
          <w:rFonts w:asciiTheme="majorHAnsi" w:hAnsiTheme="majorHAnsi" w:cstheme="majorHAnsi"/>
          <w:color w:val="000000" w:themeColor="text1"/>
        </w:rPr>
        <w:t xml:space="preserve">El potencial de cambio de una política pública, según esta teoría, disminuye a medida que aumenta el número de veto </w:t>
      </w:r>
      <w:proofErr w:type="spellStart"/>
      <w:r w:rsidRPr="00985B97">
        <w:rPr>
          <w:rFonts w:asciiTheme="majorHAnsi" w:hAnsiTheme="majorHAnsi" w:cstheme="majorHAnsi"/>
          <w:color w:val="000000" w:themeColor="text1"/>
        </w:rPr>
        <w:t>players</w:t>
      </w:r>
      <w:proofErr w:type="spellEnd"/>
      <w:r w:rsidRPr="00985B97">
        <w:rPr>
          <w:rFonts w:asciiTheme="majorHAnsi" w:hAnsiTheme="majorHAnsi" w:cstheme="majorHAnsi"/>
          <w:color w:val="000000" w:themeColor="text1"/>
        </w:rPr>
        <w:t>, la incongruencia entre sus posiciones ideológicas o programáticas y la cohesión interna de cada uno de ellos (</w:t>
      </w:r>
      <w:proofErr w:type="spellStart"/>
      <w:r w:rsidRPr="00985B97">
        <w:rPr>
          <w:rFonts w:asciiTheme="majorHAnsi" w:hAnsiTheme="majorHAnsi" w:cstheme="majorHAnsi"/>
          <w:color w:val="000000" w:themeColor="text1"/>
        </w:rPr>
        <w:t>Tsebelis</w:t>
      </w:r>
      <w:proofErr w:type="spellEnd"/>
      <w:r w:rsidRPr="00985B97">
        <w:rPr>
          <w:rFonts w:asciiTheme="majorHAnsi" w:hAnsiTheme="majorHAnsi" w:cstheme="majorHAnsi"/>
          <w:color w:val="000000" w:themeColor="text1"/>
        </w:rPr>
        <w:t xml:space="preserve">, 2002). En sistemas presidenciales multipartidistas como el colombiano, donde ningún partido controla por sí solo las mayorías legislativas (Cox y </w:t>
      </w:r>
      <w:proofErr w:type="spellStart"/>
      <w:r w:rsidRPr="00985B97">
        <w:rPr>
          <w:rFonts w:asciiTheme="majorHAnsi" w:hAnsiTheme="majorHAnsi" w:cstheme="majorHAnsi"/>
          <w:color w:val="000000" w:themeColor="text1"/>
        </w:rPr>
        <w:t>McCubbins</w:t>
      </w:r>
      <w:proofErr w:type="spellEnd"/>
      <w:r w:rsidRPr="00985B97">
        <w:rPr>
          <w:rFonts w:asciiTheme="majorHAnsi" w:hAnsiTheme="majorHAnsi" w:cstheme="majorHAnsi"/>
          <w:color w:val="000000" w:themeColor="text1"/>
        </w:rPr>
        <w:t xml:space="preserve">, 1999, en Arias y Caballero, 2003), el número efectivo de veto </w:t>
      </w:r>
      <w:proofErr w:type="spellStart"/>
      <w:r w:rsidRPr="00985B97">
        <w:rPr>
          <w:rFonts w:asciiTheme="majorHAnsi" w:hAnsiTheme="majorHAnsi" w:cstheme="majorHAnsi"/>
          <w:color w:val="000000" w:themeColor="text1"/>
        </w:rPr>
        <w:t>players</w:t>
      </w:r>
      <w:proofErr w:type="spellEnd"/>
      <w:r w:rsidRPr="00985B97">
        <w:rPr>
          <w:rFonts w:asciiTheme="majorHAnsi" w:hAnsiTheme="majorHAnsi" w:cstheme="majorHAnsi"/>
          <w:color w:val="000000" w:themeColor="text1"/>
        </w:rPr>
        <w:t xml:space="preserve"> tiende a ser elevado, lo que exige del ejecutivo un esfuerzo de coordinación y negociación permanente para evitar que cualquiera de estos actores bloquee el statu quo normativo vigente en materia energética.</w:t>
      </w:r>
    </w:p>
    <w:p w14:paraId="760C2C70" w14:textId="77777777" w:rsidR="0053122B" w:rsidRPr="00985B97" w:rsidRDefault="0053122B" w:rsidP="00985B97">
      <w:pPr>
        <w:spacing w:before="240" w:after="240"/>
        <w:jc w:val="both"/>
        <w:rPr>
          <w:rFonts w:asciiTheme="majorHAnsi" w:hAnsiTheme="majorHAnsi" w:cstheme="majorHAnsi"/>
          <w:color w:val="000000" w:themeColor="text1"/>
        </w:rPr>
      </w:pPr>
      <w:r w:rsidRPr="00985B97">
        <w:rPr>
          <w:rFonts w:asciiTheme="majorHAnsi" w:hAnsiTheme="majorHAnsi" w:cstheme="majorHAnsi"/>
          <w:color w:val="000000" w:themeColor="text1"/>
        </w:rPr>
        <w:lastRenderedPageBreak/>
        <w:t xml:space="preserve">La aplicación de este marco al caso colombiano ha sido documentada empíricamente por Carroll y Pachón (2016), quienes muestran que el potencial de las coaliciones presidenciales en Colombia se encuentra sistemáticamente subutilizado, en la medida en que la disciplina de bancada resulta débil y los partidos de la coalición de gobierno actúan, en la práctica, como veto </w:t>
      </w:r>
      <w:proofErr w:type="spellStart"/>
      <w:r w:rsidRPr="00985B97">
        <w:rPr>
          <w:rFonts w:asciiTheme="majorHAnsi" w:hAnsiTheme="majorHAnsi" w:cstheme="majorHAnsi"/>
          <w:color w:val="000000" w:themeColor="text1"/>
        </w:rPr>
        <w:t>players</w:t>
      </w:r>
      <w:proofErr w:type="spellEnd"/>
      <w:r w:rsidRPr="00985B97">
        <w:rPr>
          <w:rFonts w:asciiTheme="majorHAnsi" w:hAnsiTheme="majorHAnsi" w:cstheme="majorHAnsi"/>
          <w:color w:val="000000" w:themeColor="text1"/>
        </w:rPr>
        <w:t xml:space="preserve"> independientes capaces de alterar o bloquear las iniciativas legislativas del ejecutivo incluso cuando formalmente respaldan al gobierno. Esto es central para comprender por qué la sola existencia de una coalición legislativa nominal no garantiza, por sí misma, la aprobación de las iniciativas del Ministerio de Minas y Energía en materia de transición energética justa, y por qué el análisis estratégico legislativo debe identificar y gestionar a estos actores de manera individualizada.</w:t>
      </w:r>
    </w:p>
    <w:p w14:paraId="4C11AFD6" w14:textId="77777777" w:rsidR="110633E4" w:rsidRPr="00985B97" w:rsidRDefault="7A4171CF" w:rsidP="00985B97">
      <w:pPr>
        <w:pStyle w:val="Ttulo3"/>
        <w:rPr>
          <w:rFonts w:asciiTheme="majorHAnsi" w:hAnsiTheme="majorHAnsi" w:cstheme="majorHAnsi"/>
          <w:color w:val="D09E00"/>
          <w:sz w:val="22"/>
          <w:szCs w:val="22"/>
        </w:rPr>
      </w:pPr>
      <w:bookmarkStart w:id="127" w:name="_Toc235092550"/>
      <w:bookmarkStart w:id="128" w:name="_Toc235107994"/>
      <w:r w:rsidRPr="00985B97">
        <w:rPr>
          <w:rFonts w:asciiTheme="majorHAnsi" w:hAnsiTheme="majorHAnsi" w:cstheme="majorHAnsi"/>
          <w:sz w:val="22"/>
          <w:szCs w:val="22"/>
          <w:lang w:val="es-ES"/>
        </w:rPr>
        <w:t>Análisis de política pública</w:t>
      </w:r>
      <w:bookmarkEnd w:id="127"/>
      <w:bookmarkEnd w:id="128"/>
    </w:p>
    <w:p w14:paraId="5D9374FD" w14:textId="77777777" w:rsidR="7A4171CF" w:rsidRPr="00985B97" w:rsidRDefault="7A4171CF" w:rsidP="00985B97">
      <w:pPr>
        <w:spacing w:after="160"/>
        <w:jc w:val="both"/>
        <w:rPr>
          <w:rFonts w:asciiTheme="majorHAnsi" w:hAnsiTheme="majorHAnsi" w:cstheme="majorHAnsi"/>
          <w:color w:val="000000" w:themeColor="text1"/>
        </w:rPr>
      </w:pPr>
      <w:r w:rsidRPr="00985B97">
        <w:rPr>
          <w:rFonts w:asciiTheme="majorHAnsi" w:hAnsiTheme="majorHAnsi" w:cstheme="majorHAnsi"/>
          <w:color w:val="000000" w:themeColor="text1"/>
          <w:lang w:val="es-ES"/>
        </w:rPr>
        <w:t xml:space="preserve">Las teorías del proceso de políticas públicas, que analizan cómo un problema o necesidad se transforma en tema de agenda pública y, finalmente, en política pública, permiten comprender la dinámica entre el Ministerio de Minas y Energía y el Congreso de la República. En particular, estas teorías explican de qué manera el análisis estratégico legislativo —como herramienta del </w:t>
      </w:r>
      <w:r w:rsidR="001D4B0A" w:rsidRPr="00985B97">
        <w:rPr>
          <w:rFonts w:asciiTheme="majorHAnsi" w:hAnsiTheme="majorHAnsi" w:cstheme="majorHAnsi"/>
          <w:color w:val="000000" w:themeColor="text1"/>
          <w:lang w:val="es-ES"/>
        </w:rPr>
        <w:t>ejecutivo</w:t>
      </w:r>
      <w:r w:rsidRPr="00985B97">
        <w:rPr>
          <w:rFonts w:asciiTheme="majorHAnsi" w:hAnsiTheme="majorHAnsi" w:cstheme="majorHAnsi"/>
          <w:color w:val="000000" w:themeColor="text1"/>
          <w:lang w:val="es-ES"/>
        </w:rPr>
        <w:t xml:space="preserve"> para anticiparse, incidir o reaccionar ante momentos coyunturales— condiciona el diálogo institucional y afecta la velocidad de adopción de políticas como la TEJ.</w:t>
      </w:r>
    </w:p>
    <w:p w14:paraId="7CFBFC5A" w14:textId="77777777" w:rsidR="7A4171CF" w:rsidRPr="00985B97" w:rsidRDefault="7A4171CF" w:rsidP="00985B97">
      <w:pPr>
        <w:spacing w:after="0"/>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t>Para analizar cómo el ASL ha incidido en la relación ejecutivo-legislativo en el desarrollo de la TEJ, este marco teórico integra el modelo de corrientes múltiples (</w:t>
      </w:r>
      <w:proofErr w:type="spellStart"/>
      <w:r w:rsidRPr="00985B97">
        <w:rPr>
          <w:rFonts w:asciiTheme="majorHAnsi" w:hAnsiTheme="majorHAnsi" w:cstheme="majorHAnsi"/>
          <w:color w:val="000000" w:themeColor="text1"/>
          <w:lang w:val="es-ES"/>
        </w:rPr>
        <w:t>Multiple</w:t>
      </w:r>
      <w:proofErr w:type="spellEnd"/>
      <w:r w:rsidRPr="00985B97">
        <w:rPr>
          <w:rFonts w:asciiTheme="majorHAnsi" w:hAnsiTheme="majorHAnsi" w:cstheme="majorHAnsi"/>
          <w:color w:val="000000" w:themeColor="text1"/>
          <w:lang w:val="es-ES"/>
        </w:rPr>
        <w:t xml:space="preserve"> </w:t>
      </w:r>
      <w:proofErr w:type="spellStart"/>
      <w:r w:rsidRPr="00985B97">
        <w:rPr>
          <w:rFonts w:asciiTheme="majorHAnsi" w:hAnsiTheme="majorHAnsi" w:cstheme="majorHAnsi"/>
          <w:color w:val="000000" w:themeColor="text1"/>
          <w:lang w:val="es-ES"/>
        </w:rPr>
        <w:t>Streams</w:t>
      </w:r>
      <w:proofErr w:type="spellEnd"/>
      <w:r w:rsidRPr="00985B97">
        <w:rPr>
          <w:rFonts w:asciiTheme="majorHAnsi" w:hAnsiTheme="majorHAnsi" w:cstheme="majorHAnsi"/>
          <w:color w:val="000000" w:themeColor="text1"/>
          <w:lang w:val="es-ES"/>
        </w:rPr>
        <w:t xml:space="preserve"> Framework) con la teoría principal-agente. El primero explica las ventanas de oportunidad donde convergen problemas (crisis energética), políticas (soluciones técnicas del ASL) y política (clima </w:t>
      </w:r>
      <w:proofErr w:type="spellStart"/>
      <w:r w:rsidRPr="00985B97">
        <w:rPr>
          <w:rFonts w:asciiTheme="majorHAnsi" w:hAnsiTheme="majorHAnsi" w:cstheme="majorHAnsi"/>
          <w:color w:val="000000" w:themeColor="text1"/>
          <w:lang w:val="es-ES"/>
        </w:rPr>
        <w:t>congresional</w:t>
      </w:r>
      <w:proofErr w:type="spellEnd"/>
      <w:r w:rsidRPr="00985B97">
        <w:rPr>
          <w:rFonts w:asciiTheme="majorHAnsi" w:hAnsiTheme="majorHAnsi" w:cstheme="majorHAnsi"/>
          <w:color w:val="000000" w:themeColor="text1"/>
          <w:lang w:val="es-ES"/>
        </w:rPr>
        <w:t>), mientras la segunda modela al Congreso como principal que delega al Ministerio como agente especializado, requiriendo incentivos, monitoreo (control político) y negociación institucional para superar asimetrías informativas y relaciones fragmentadas.</w:t>
      </w:r>
    </w:p>
    <w:p w14:paraId="6A0CFEDB" w14:textId="77777777" w:rsidR="110633E4" w:rsidRPr="00985B97" w:rsidRDefault="110633E4" w:rsidP="00985B97">
      <w:pPr>
        <w:spacing w:after="0"/>
        <w:jc w:val="both"/>
        <w:rPr>
          <w:rFonts w:asciiTheme="majorHAnsi" w:hAnsiTheme="majorHAnsi" w:cstheme="majorHAnsi"/>
          <w:color w:val="000000" w:themeColor="text1"/>
          <w:lang w:val="es-ES"/>
        </w:rPr>
      </w:pPr>
    </w:p>
    <w:p w14:paraId="0F9A02A2" w14:textId="77777777" w:rsidR="7A4171CF" w:rsidRPr="00985B97" w:rsidRDefault="7A4171CF" w:rsidP="00985B97">
      <w:pPr>
        <w:spacing w:after="0"/>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t xml:space="preserve">En primer lugar, el </w:t>
      </w:r>
      <w:r w:rsidRPr="00985B97">
        <w:rPr>
          <w:rFonts w:asciiTheme="majorHAnsi" w:hAnsiTheme="majorHAnsi" w:cstheme="majorHAnsi"/>
          <w:b/>
          <w:bCs/>
          <w:color w:val="000000" w:themeColor="text1"/>
          <w:lang w:val="es-ES"/>
        </w:rPr>
        <w:t>modelo de corrientes múltiples</w:t>
      </w:r>
      <w:r w:rsidRPr="00985B97">
        <w:rPr>
          <w:rFonts w:asciiTheme="majorHAnsi" w:hAnsiTheme="majorHAnsi" w:cstheme="majorHAnsi"/>
          <w:color w:val="000000" w:themeColor="text1"/>
          <w:lang w:val="es-ES"/>
        </w:rPr>
        <w:t xml:space="preserve"> de </w:t>
      </w:r>
      <w:proofErr w:type="spellStart"/>
      <w:r w:rsidRPr="00985B97">
        <w:rPr>
          <w:rFonts w:asciiTheme="majorHAnsi" w:hAnsiTheme="majorHAnsi" w:cstheme="majorHAnsi"/>
          <w:color w:val="000000" w:themeColor="text1"/>
          <w:lang w:val="es-ES"/>
        </w:rPr>
        <w:t>Kingdon</w:t>
      </w:r>
      <w:proofErr w:type="spellEnd"/>
      <w:r w:rsidRPr="00985B97">
        <w:rPr>
          <w:rFonts w:asciiTheme="majorHAnsi" w:hAnsiTheme="majorHAnsi" w:cstheme="majorHAnsi"/>
          <w:color w:val="000000" w:themeColor="text1"/>
          <w:lang w:val="es-ES"/>
        </w:rPr>
        <w:t xml:space="preserve"> (2011) describe la construcción de la agenda de políticas mediante tres variables: corriente de los problemas o </w:t>
      </w:r>
      <w:proofErr w:type="spellStart"/>
      <w:r w:rsidRPr="00985B97">
        <w:rPr>
          <w:rFonts w:asciiTheme="majorHAnsi" w:hAnsiTheme="majorHAnsi" w:cstheme="majorHAnsi"/>
          <w:color w:val="000000" w:themeColor="text1"/>
          <w:lang w:val="es-ES"/>
        </w:rPr>
        <w:t>problem</w:t>
      </w:r>
      <w:proofErr w:type="spellEnd"/>
      <w:r w:rsidRPr="00985B97">
        <w:rPr>
          <w:rFonts w:asciiTheme="majorHAnsi" w:hAnsiTheme="majorHAnsi" w:cstheme="majorHAnsi"/>
          <w:color w:val="000000" w:themeColor="text1"/>
          <w:lang w:val="es-ES"/>
        </w:rPr>
        <w:t xml:space="preserve"> </w:t>
      </w:r>
      <w:proofErr w:type="spellStart"/>
      <w:r w:rsidRPr="00985B97">
        <w:rPr>
          <w:rFonts w:asciiTheme="majorHAnsi" w:hAnsiTheme="majorHAnsi" w:cstheme="majorHAnsi"/>
          <w:color w:val="000000" w:themeColor="text1"/>
          <w:lang w:val="es-ES"/>
        </w:rPr>
        <w:t>stream</w:t>
      </w:r>
      <w:proofErr w:type="spellEnd"/>
      <w:r w:rsidRPr="00985B97">
        <w:rPr>
          <w:rFonts w:asciiTheme="majorHAnsi" w:hAnsiTheme="majorHAnsi" w:cstheme="majorHAnsi"/>
          <w:color w:val="000000" w:themeColor="text1"/>
          <w:lang w:val="es-ES"/>
        </w:rPr>
        <w:t xml:space="preserve">, que se construyen a través de un evento continuo, situaciones coyunturales o sobre fenómenos que captan la atención de los actores que intervienen en la agenda pública; corriente de políticas o </w:t>
      </w:r>
      <w:proofErr w:type="spellStart"/>
      <w:r w:rsidRPr="00985B97">
        <w:rPr>
          <w:rFonts w:asciiTheme="majorHAnsi" w:hAnsiTheme="majorHAnsi" w:cstheme="majorHAnsi"/>
          <w:color w:val="000000" w:themeColor="text1"/>
          <w:lang w:val="es-ES"/>
        </w:rPr>
        <w:t>policy</w:t>
      </w:r>
      <w:proofErr w:type="spellEnd"/>
      <w:r w:rsidRPr="00985B97">
        <w:rPr>
          <w:rFonts w:asciiTheme="majorHAnsi" w:hAnsiTheme="majorHAnsi" w:cstheme="majorHAnsi"/>
          <w:color w:val="000000" w:themeColor="text1"/>
          <w:lang w:val="es-ES"/>
        </w:rPr>
        <w:t xml:space="preserve"> </w:t>
      </w:r>
      <w:proofErr w:type="spellStart"/>
      <w:r w:rsidRPr="00985B97">
        <w:rPr>
          <w:rFonts w:asciiTheme="majorHAnsi" w:hAnsiTheme="majorHAnsi" w:cstheme="majorHAnsi"/>
          <w:color w:val="000000" w:themeColor="text1"/>
          <w:lang w:val="es-ES"/>
        </w:rPr>
        <w:t>stream</w:t>
      </w:r>
      <w:proofErr w:type="spellEnd"/>
      <w:r w:rsidRPr="00985B97">
        <w:rPr>
          <w:rFonts w:asciiTheme="majorHAnsi" w:hAnsiTheme="majorHAnsi" w:cstheme="majorHAnsi"/>
          <w:color w:val="000000" w:themeColor="text1"/>
          <w:lang w:val="es-ES"/>
        </w:rPr>
        <w:t xml:space="preserve">, que </w:t>
      </w:r>
      <w:r w:rsidRPr="00985B97">
        <w:rPr>
          <w:rFonts w:asciiTheme="majorHAnsi" w:hAnsiTheme="majorHAnsi" w:cstheme="majorHAnsi"/>
          <w:color w:val="000000" w:themeColor="text1"/>
          <w:lang w:val="es-ES"/>
        </w:rPr>
        <w:lastRenderedPageBreak/>
        <w:t>es el conjunto de propuestas y soluciones a estas problemáticas; y la corriente o el ambiente político (</w:t>
      </w:r>
      <w:proofErr w:type="spellStart"/>
      <w:r w:rsidRPr="00985B97">
        <w:rPr>
          <w:rFonts w:asciiTheme="majorHAnsi" w:hAnsiTheme="majorHAnsi" w:cstheme="majorHAnsi"/>
          <w:color w:val="000000" w:themeColor="text1"/>
          <w:lang w:val="es-ES"/>
        </w:rPr>
        <w:t>politics</w:t>
      </w:r>
      <w:proofErr w:type="spellEnd"/>
      <w:r w:rsidRPr="00985B97">
        <w:rPr>
          <w:rFonts w:asciiTheme="majorHAnsi" w:hAnsiTheme="majorHAnsi" w:cstheme="majorHAnsi"/>
          <w:color w:val="000000" w:themeColor="text1"/>
          <w:lang w:val="es-ES"/>
        </w:rPr>
        <w:t xml:space="preserve"> </w:t>
      </w:r>
      <w:proofErr w:type="spellStart"/>
      <w:r w:rsidRPr="00985B97">
        <w:rPr>
          <w:rFonts w:asciiTheme="majorHAnsi" w:hAnsiTheme="majorHAnsi" w:cstheme="majorHAnsi"/>
          <w:color w:val="000000" w:themeColor="text1"/>
          <w:lang w:val="es-ES"/>
        </w:rPr>
        <w:t>stream</w:t>
      </w:r>
      <w:proofErr w:type="spellEnd"/>
      <w:r w:rsidRPr="00985B97">
        <w:rPr>
          <w:rFonts w:asciiTheme="majorHAnsi" w:hAnsiTheme="majorHAnsi" w:cstheme="majorHAnsi"/>
          <w:color w:val="000000" w:themeColor="text1"/>
          <w:lang w:val="es-ES"/>
        </w:rPr>
        <w:t xml:space="preserve">), que son los factores que condicionan el relacionamiento entre los principales agentes o </w:t>
      </w:r>
      <w:proofErr w:type="spellStart"/>
      <w:r w:rsidRPr="00985B97">
        <w:rPr>
          <w:rFonts w:asciiTheme="majorHAnsi" w:hAnsiTheme="majorHAnsi" w:cstheme="majorHAnsi"/>
          <w:color w:val="000000" w:themeColor="text1"/>
          <w:lang w:val="es-ES"/>
        </w:rPr>
        <w:t>policy</w:t>
      </w:r>
      <w:proofErr w:type="spellEnd"/>
      <w:r w:rsidRPr="00985B97">
        <w:rPr>
          <w:rFonts w:asciiTheme="majorHAnsi" w:hAnsiTheme="majorHAnsi" w:cstheme="majorHAnsi"/>
          <w:color w:val="000000" w:themeColor="text1"/>
          <w:lang w:val="es-ES"/>
        </w:rPr>
        <w:t xml:space="preserve"> </w:t>
      </w:r>
      <w:proofErr w:type="spellStart"/>
      <w:r w:rsidRPr="00985B97">
        <w:rPr>
          <w:rFonts w:asciiTheme="majorHAnsi" w:hAnsiTheme="majorHAnsi" w:cstheme="majorHAnsi"/>
          <w:color w:val="000000" w:themeColor="text1"/>
          <w:lang w:val="es-ES"/>
        </w:rPr>
        <w:t>entrepreneurs</w:t>
      </w:r>
      <w:proofErr w:type="spellEnd"/>
      <w:r w:rsidRPr="00985B97">
        <w:rPr>
          <w:rFonts w:asciiTheme="majorHAnsi" w:hAnsiTheme="majorHAnsi" w:cstheme="majorHAnsi"/>
          <w:color w:val="000000" w:themeColor="text1"/>
          <w:lang w:val="es-ES"/>
        </w:rPr>
        <w:t xml:space="preserve"> que intervienen en la política.</w:t>
      </w:r>
    </w:p>
    <w:p w14:paraId="2263C9FC" w14:textId="77777777" w:rsidR="110633E4" w:rsidRPr="00985B97" w:rsidRDefault="110633E4" w:rsidP="00985B97">
      <w:pPr>
        <w:spacing w:after="0"/>
        <w:jc w:val="both"/>
        <w:rPr>
          <w:rFonts w:asciiTheme="majorHAnsi" w:hAnsiTheme="majorHAnsi" w:cstheme="majorHAnsi"/>
          <w:color w:val="000000" w:themeColor="text1"/>
          <w:lang w:val="es-ES"/>
        </w:rPr>
      </w:pPr>
    </w:p>
    <w:p w14:paraId="694886CF" w14:textId="77777777" w:rsidR="7A4171CF" w:rsidRPr="00985B97" w:rsidRDefault="7A4171CF" w:rsidP="00985B97">
      <w:pPr>
        <w:spacing w:after="0"/>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t>Este enfoque permite explicar como el análisis estratégico del Ministerio debe tener en cuenta tanto los escenarios coyunturales de la problemática energética en el país (</w:t>
      </w:r>
      <w:proofErr w:type="spellStart"/>
      <w:r w:rsidRPr="00985B97">
        <w:rPr>
          <w:rFonts w:asciiTheme="majorHAnsi" w:hAnsiTheme="majorHAnsi" w:cstheme="majorHAnsi"/>
          <w:color w:val="000000" w:themeColor="text1"/>
          <w:lang w:val="es-ES"/>
        </w:rPr>
        <w:t>problem</w:t>
      </w:r>
      <w:proofErr w:type="spellEnd"/>
      <w:r w:rsidRPr="00985B97">
        <w:rPr>
          <w:rFonts w:asciiTheme="majorHAnsi" w:hAnsiTheme="majorHAnsi" w:cstheme="majorHAnsi"/>
          <w:color w:val="000000" w:themeColor="text1"/>
          <w:lang w:val="es-ES"/>
        </w:rPr>
        <w:t xml:space="preserve"> </w:t>
      </w:r>
      <w:proofErr w:type="spellStart"/>
      <w:r w:rsidRPr="00985B97">
        <w:rPr>
          <w:rFonts w:asciiTheme="majorHAnsi" w:hAnsiTheme="majorHAnsi" w:cstheme="majorHAnsi"/>
          <w:color w:val="000000" w:themeColor="text1"/>
          <w:lang w:val="es-ES"/>
        </w:rPr>
        <w:t>stream</w:t>
      </w:r>
      <w:proofErr w:type="spellEnd"/>
      <w:r w:rsidRPr="00985B97">
        <w:rPr>
          <w:rFonts w:asciiTheme="majorHAnsi" w:hAnsiTheme="majorHAnsi" w:cstheme="majorHAnsi"/>
          <w:color w:val="000000" w:themeColor="text1"/>
          <w:lang w:val="es-ES"/>
        </w:rPr>
        <w:t>) como el clima de relacionamiento con el Congreso (</w:t>
      </w:r>
      <w:proofErr w:type="spellStart"/>
      <w:r w:rsidRPr="00985B97">
        <w:rPr>
          <w:rFonts w:asciiTheme="majorHAnsi" w:hAnsiTheme="majorHAnsi" w:cstheme="majorHAnsi"/>
          <w:color w:val="000000" w:themeColor="text1"/>
          <w:lang w:val="es-ES"/>
        </w:rPr>
        <w:t>politics</w:t>
      </w:r>
      <w:proofErr w:type="spellEnd"/>
      <w:r w:rsidRPr="00985B97">
        <w:rPr>
          <w:rFonts w:asciiTheme="majorHAnsi" w:hAnsiTheme="majorHAnsi" w:cstheme="majorHAnsi"/>
          <w:color w:val="000000" w:themeColor="text1"/>
          <w:lang w:val="es-ES"/>
        </w:rPr>
        <w:t xml:space="preserve"> </w:t>
      </w:r>
      <w:proofErr w:type="spellStart"/>
      <w:r w:rsidRPr="00985B97">
        <w:rPr>
          <w:rFonts w:asciiTheme="majorHAnsi" w:hAnsiTheme="majorHAnsi" w:cstheme="majorHAnsi"/>
          <w:color w:val="000000" w:themeColor="text1"/>
          <w:lang w:val="es-ES"/>
        </w:rPr>
        <w:t>stream</w:t>
      </w:r>
      <w:proofErr w:type="spellEnd"/>
      <w:r w:rsidRPr="00985B97">
        <w:rPr>
          <w:rFonts w:asciiTheme="majorHAnsi" w:hAnsiTheme="majorHAnsi" w:cstheme="majorHAnsi"/>
          <w:color w:val="000000" w:themeColor="text1"/>
          <w:lang w:val="es-ES"/>
        </w:rPr>
        <w:t>), así como el ambiente político nacional, los cambios de administración y la presión por parte de los grupos de interés, para realizar propuestas y generar acciones en torno a la política de transición energética (</w:t>
      </w:r>
      <w:proofErr w:type="spellStart"/>
      <w:r w:rsidRPr="00985B97">
        <w:rPr>
          <w:rFonts w:asciiTheme="majorHAnsi" w:hAnsiTheme="majorHAnsi" w:cstheme="majorHAnsi"/>
          <w:color w:val="000000" w:themeColor="text1"/>
          <w:lang w:val="es-ES"/>
        </w:rPr>
        <w:t>policy</w:t>
      </w:r>
      <w:proofErr w:type="spellEnd"/>
      <w:r w:rsidRPr="00985B97">
        <w:rPr>
          <w:rFonts w:asciiTheme="majorHAnsi" w:hAnsiTheme="majorHAnsi" w:cstheme="majorHAnsi"/>
          <w:color w:val="000000" w:themeColor="text1"/>
          <w:lang w:val="es-ES"/>
        </w:rPr>
        <w:t xml:space="preserve"> </w:t>
      </w:r>
      <w:proofErr w:type="spellStart"/>
      <w:r w:rsidRPr="00985B97">
        <w:rPr>
          <w:rFonts w:asciiTheme="majorHAnsi" w:hAnsiTheme="majorHAnsi" w:cstheme="majorHAnsi"/>
          <w:color w:val="000000" w:themeColor="text1"/>
          <w:lang w:val="es-ES"/>
        </w:rPr>
        <w:t>stream</w:t>
      </w:r>
      <w:proofErr w:type="spellEnd"/>
      <w:r w:rsidRPr="00985B97">
        <w:rPr>
          <w:rFonts w:asciiTheme="majorHAnsi" w:hAnsiTheme="majorHAnsi" w:cstheme="majorHAnsi"/>
          <w:color w:val="000000" w:themeColor="text1"/>
          <w:lang w:val="es-ES"/>
        </w:rPr>
        <w:t>). La confluencia de estos tres en el análisis estratégico legislativo permite construir una especie de “ventana de oportunidad” para los actores que buscan impulsar la política pública, en este caso, el Ministerio mediante la creación de estrategias de diálogo y negociación entre los participantes.</w:t>
      </w:r>
    </w:p>
    <w:p w14:paraId="1E68B13B" w14:textId="77777777" w:rsidR="110633E4" w:rsidRPr="00985B97" w:rsidRDefault="110633E4" w:rsidP="00985B97">
      <w:pPr>
        <w:spacing w:after="0"/>
        <w:jc w:val="both"/>
        <w:rPr>
          <w:rFonts w:asciiTheme="majorHAnsi" w:hAnsiTheme="majorHAnsi" w:cstheme="majorHAnsi"/>
          <w:color w:val="000000" w:themeColor="text1"/>
          <w:lang w:val="es-ES"/>
        </w:rPr>
      </w:pPr>
    </w:p>
    <w:p w14:paraId="3163EBD7" w14:textId="77777777" w:rsidR="7A4171CF" w:rsidRPr="00985B97" w:rsidRDefault="7A4171CF" w:rsidP="00985B97">
      <w:pPr>
        <w:spacing w:after="0"/>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t xml:space="preserve">En segundo lugar, la </w:t>
      </w:r>
      <w:r w:rsidRPr="00985B97">
        <w:rPr>
          <w:rFonts w:asciiTheme="majorHAnsi" w:hAnsiTheme="majorHAnsi" w:cstheme="majorHAnsi"/>
          <w:b/>
          <w:bCs/>
          <w:color w:val="000000" w:themeColor="text1"/>
          <w:lang w:val="es-ES"/>
        </w:rPr>
        <w:t>teoría principal-agente</w:t>
      </w:r>
      <w:r w:rsidRPr="00985B97">
        <w:rPr>
          <w:rFonts w:asciiTheme="majorHAnsi" w:hAnsiTheme="majorHAnsi" w:cstheme="majorHAnsi"/>
          <w:color w:val="000000" w:themeColor="text1"/>
          <w:lang w:val="es-ES"/>
        </w:rPr>
        <w:t xml:space="preserve"> aborda las relaciones de delegación funcional de autoridad como una especie de “contrato”, en los cuales un agente principal delega en otro la realización de tareas específicas, en las cuales, si bien se otorga un poder decisorio, existen una serie de conflictos de interés inherentes derivados de la asimetría informativa y la divergencia de objetivos entre los actores (Jensen &amp; </w:t>
      </w:r>
      <w:proofErr w:type="spellStart"/>
      <w:r w:rsidRPr="00985B97">
        <w:rPr>
          <w:rFonts w:asciiTheme="majorHAnsi" w:hAnsiTheme="majorHAnsi" w:cstheme="majorHAnsi"/>
          <w:color w:val="000000" w:themeColor="text1"/>
          <w:lang w:val="es-ES"/>
        </w:rPr>
        <w:t>Mecklingm</w:t>
      </w:r>
      <w:proofErr w:type="spellEnd"/>
      <w:r w:rsidRPr="00985B97">
        <w:rPr>
          <w:rFonts w:asciiTheme="majorHAnsi" w:hAnsiTheme="majorHAnsi" w:cstheme="majorHAnsi"/>
          <w:color w:val="000000" w:themeColor="text1"/>
          <w:lang w:val="es-ES"/>
        </w:rPr>
        <w:t>, 1976).</w:t>
      </w:r>
    </w:p>
    <w:p w14:paraId="615B74EA" w14:textId="77777777" w:rsidR="110633E4" w:rsidRPr="00985B97" w:rsidRDefault="110633E4" w:rsidP="00985B97">
      <w:pPr>
        <w:spacing w:after="0"/>
        <w:jc w:val="both"/>
        <w:rPr>
          <w:rFonts w:asciiTheme="majorHAnsi" w:hAnsiTheme="majorHAnsi" w:cstheme="majorHAnsi"/>
          <w:color w:val="000000" w:themeColor="text1"/>
          <w:lang w:val="es-ES"/>
        </w:rPr>
      </w:pPr>
    </w:p>
    <w:p w14:paraId="0CA11EBC" w14:textId="77777777" w:rsidR="7A4171CF" w:rsidRPr="00985B97" w:rsidRDefault="7A4171CF" w:rsidP="00985B97">
      <w:pPr>
        <w:spacing w:after="0"/>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t>Desde esta perspectiva, el Congreso actúa como principal, por ser quien ostenta el poder derivado del voto popular, y el ejecutivo es quien está a cargo de la implementación de la política de TEJ, en este caso al Ministerio, como agente especializado por una delegación o división funcional, pero, sin dejar de presentar costos de agenciamiento, que se manifiestan de tres formas: monitoreo (control político vía citaciones y mociones de censura), garantía del agente (memorias de gestión e indicadores de desempeño) y pérdida residual (desalineación persistente que retrasa el agendamiento legislativo).</w:t>
      </w:r>
    </w:p>
    <w:p w14:paraId="1C24D117" w14:textId="77777777" w:rsidR="0053122B" w:rsidRPr="00985B97" w:rsidRDefault="0053122B" w:rsidP="00985B97">
      <w:pPr>
        <w:spacing w:after="0"/>
        <w:jc w:val="both"/>
        <w:rPr>
          <w:rFonts w:asciiTheme="majorHAnsi" w:hAnsiTheme="majorHAnsi" w:cstheme="majorHAnsi"/>
          <w:color w:val="000000" w:themeColor="text1"/>
          <w:lang w:val="es-ES"/>
        </w:rPr>
      </w:pPr>
    </w:p>
    <w:p w14:paraId="4B761B13" w14:textId="77777777" w:rsidR="0053122B" w:rsidRPr="00985B97" w:rsidRDefault="0053122B" w:rsidP="00985B97">
      <w:pPr>
        <w:spacing w:after="0"/>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t xml:space="preserve">Esta cadena de delegación se enmarca en lo que </w:t>
      </w:r>
      <w:proofErr w:type="spellStart"/>
      <w:r w:rsidRPr="00985B97">
        <w:rPr>
          <w:rFonts w:asciiTheme="majorHAnsi" w:hAnsiTheme="majorHAnsi" w:cstheme="majorHAnsi"/>
          <w:color w:val="000000" w:themeColor="text1"/>
          <w:lang w:val="es-ES"/>
        </w:rPr>
        <w:t>Strom</w:t>
      </w:r>
      <w:proofErr w:type="spellEnd"/>
      <w:r w:rsidRPr="00985B97">
        <w:rPr>
          <w:rFonts w:asciiTheme="majorHAnsi" w:hAnsiTheme="majorHAnsi" w:cstheme="majorHAnsi"/>
          <w:color w:val="000000" w:themeColor="text1"/>
          <w:lang w:val="es-ES"/>
        </w:rPr>
        <w:t xml:space="preserve"> (2000) denomina cadenas de delegación y rendición de cuentas (</w:t>
      </w:r>
      <w:proofErr w:type="spellStart"/>
      <w:r w:rsidRPr="00985B97">
        <w:rPr>
          <w:rFonts w:asciiTheme="majorHAnsi" w:hAnsiTheme="majorHAnsi" w:cstheme="majorHAnsi"/>
          <w:color w:val="000000" w:themeColor="text1"/>
          <w:lang w:val="es-ES"/>
        </w:rPr>
        <w:t>chains</w:t>
      </w:r>
      <w:proofErr w:type="spellEnd"/>
      <w:r w:rsidRPr="00985B97">
        <w:rPr>
          <w:rFonts w:asciiTheme="majorHAnsi" w:hAnsiTheme="majorHAnsi" w:cstheme="majorHAnsi"/>
          <w:color w:val="000000" w:themeColor="text1"/>
          <w:lang w:val="es-ES"/>
        </w:rPr>
        <w:t xml:space="preserve"> </w:t>
      </w:r>
      <w:proofErr w:type="spellStart"/>
      <w:r w:rsidRPr="00985B97">
        <w:rPr>
          <w:rFonts w:asciiTheme="majorHAnsi" w:hAnsiTheme="majorHAnsi" w:cstheme="majorHAnsi"/>
          <w:color w:val="000000" w:themeColor="text1"/>
          <w:lang w:val="es-ES"/>
        </w:rPr>
        <w:t>of</w:t>
      </w:r>
      <w:proofErr w:type="spellEnd"/>
      <w:r w:rsidRPr="00985B97">
        <w:rPr>
          <w:rFonts w:asciiTheme="majorHAnsi" w:hAnsiTheme="majorHAnsi" w:cstheme="majorHAnsi"/>
          <w:color w:val="000000" w:themeColor="text1"/>
          <w:lang w:val="es-ES"/>
        </w:rPr>
        <w:t xml:space="preserve"> </w:t>
      </w:r>
      <w:proofErr w:type="spellStart"/>
      <w:r w:rsidRPr="00985B97">
        <w:rPr>
          <w:rFonts w:asciiTheme="majorHAnsi" w:hAnsiTheme="majorHAnsi" w:cstheme="majorHAnsi"/>
          <w:color w:val="000000" w:themeColor="text1"/>
          <w:lang w:val="es-ES"/>
        </w:rPr>
        <w:t>delegation</w:t>
      </w:r>
      <w:proofErr w:type="spellEnd"/>
      <w:r w:rsidRPr="00985B97">
        <w:rPr>
          <w:rFonts w:asciiTheme="majorHAnsi" w:hAnsiTheme="majorHAnsi" w:cstheme="majorHAnsi"/>
          <w:color w:val="000000" w:themeColor="text1"/>
          <w:lang w:val="es-ES"/>
        </w:rPr>
        <w:t xml:space="preserve"> and </w:t>
      </w:r>
      <w:proofErr w:type="spellStart"/>
      <w:r w:rsidRPr="00985B97">
        <w:rPr>
          <w:rFonts w:asciiTheme="majorHAnsi" w:hAnsiTheme="majorHAnsi" w:cstheme="majorHAnsi"/>
          <w:color w:val="000000" w:themeColor="text1"/>
          <w:lang w:val="es-ES"/>
        </w:rPr>
        <w:t>accountability</w:t>
      </w:r>
      <w:proofErr w:type="spellEnd"/>
      <w:r w:rsidRPr="00985B97">
        <w:rPr>
          <w:rFonts w:asciiTheme="majorHAnsi" w:hAnsiTheme="majorHAnsi" w:cstheme="majorHAnsi"/>
          <w:color w:val="000000" w:themeColor="text1"/>
          <w:lang w:val="es-ES"/>
        </w:rPr>
        <w:t xml:space="preserve">): una secuencia en la que el electorado delega en el Congreso, el Congreso delega en el gobierno y este, a su vez, delega en los ministerios </w:t>
      </w:r>
      <w:r w:rsidRPr="00985B97">
        <w:rPr>
          <w:rFonts w:asciiTheme="majorHAnsi" w:hAnsiTheme="majorHAnsi" w:cstheme="majorHAnsi"/>
          <w:color w:val="000000" w:themeColor="text1"/>
          <w:lang w:val="es-ES"/>
        </w:rPr>
        <w:lastRenderedPageBreak/>
        <w:t xml:space="preserve">sectoriales la implementación técnica de las políticas, de modo que cada eslabón de la cadena reproduce, en menor escala, los mismos problemas de información asimétrica y de alineación de incentivos identificados por la teoría principal-agente. La capacidad del Ministerio de Minas y Energía para actuar como agente competente en esta cadena depende, en buena medida, de lo que </w:t>
      </w:r>
      <w:proofErr w:type="spellStart"/>
      <w:r w:rsidRPr="00985B97">
        <w:rPr>
          <w:rFonts w:asciiTheme="majorHAnsi" w:hAnsiTheme="majorHAnsi" w:cstheme="majorHAnsi"/>
          <w:color w:val="000000" w:themeColor="text1"/>
          <w:lang w:val="es-ES"/>
        </w:rPr>
        <w:t>Bertranou</w:t>
      </w:r>
      <w:proofErr w:type="spellEnd"/>
      <w:r w:rsidRPr="00985B97">
        <w:rPr>
          <w:rFonts w:asciiTheme="majorHAnsi" w:hAnsiTheme="majorHAnsi" w:cstheme="majorHAnsi"/>
          <w:color w:val="000000" w:themeColor="text1"/>
          <w:lang w:val="es-ES"/>
        </w:rPr>
        <w:t xml:space="preserve"> (2015) define como capacidad estatal: la aptitud de las organizaciones públicas para definir y alcanzar objetivos colectivos de manera eficaz, sostenida en dotaciones técnicas, administrativas y relacionales estables en el tiempo. Cuando esta capacidad se ve erosionada —por ejemplo, por la alta rotación de la conducción ministerial—, los costos de agencia tienden a incrementarse, pues el principal legislativo pierde certeza sobre la continuidad de los compromisos asumidos por el agente ejecutivo.</w:t>
      </w:r>
    </w:p>
    <w:p w14:paraId="0CF978D4" w14:textId="77777777" w:rsidR="0053122B" w:rsidRPr="00985B97" w:rsidRDefault="0053122B" w:rsidP="00985B97">
      <w:pPr>
        <w:spacing w:after="0"/>
        <w:jc w:val="both"/>
        <w:rPr>
          <w:rFonts w:asciiTheme="majorHAnsi" w:hAnsiTheme="majorHAnsi" w:cstheme="majorHAnsi"/>
          <w:color w:val="000000" w:themeColor="text1"/>
          <w:lang w:val="es-ES"/>
        </w:rPr>
      </w:pPr>
    </w:p>
    <w:p w14:paraId="599D1715" w14:textId="77777777" w:rsidR="0053122B" w:rsidRPr="00985B97" w:rsidRDefault="0053122B" w:rsidP="00985B97">
      <w:pPr>
        <w:spacing w:after="0"/>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t>De manera complementaria, la noción de redes de política pública (</w:t>
      </w:r>
      <w:proofErr w:type="spellStart"/>
      <w:r w:rsidRPr="00985B97">
        <w:rPr>
          <w:rFonts w:asciiTheme="majorHAnsi" w:hAnsiTheme="majorHAnsi" w:cstheme="majorHAnsi"/>
          <w:color w:val="000000" w:themeColor="text1"/>
          <w:lang w:val="es-ES"/>
        </w:rPr>
        <w:t>policy</w:t>
      </w:r>
      <w:proofErr w:type="spellEnd"/>
      <w:r w:rsidRPr="00985B97">
        <w:rPr>
          <w:rFonts w:asciiTheme="majorHAnsi" w:hAnsiTheme="majorHAnsi" w:cstheme="majorHAnsi"/>
          <w:color w:val="000000" w:themeColor="text1"/>
          <w:lang w:val="es-ES"/>
        </w:rPr>
        <w:t xml:space="preserve"> </w:t>
      </w:r>
      <w:proofErr w:type="spellStart"/>
      <w:r w:rsidRPr="00985B97">
        <w:rPr>
          <w:rFonts w:asciiTheme="majorHAnsi" w:hAnsiTheme="majorHAnsi" w:cstheme="majorHAnsi"/>
          <w:color w:val="000000" w:themeColor="text1"/>
          <w:lang w:val="es-ES"/>
        </w:rPr>
        <w:t>networks</w:t>
      </w:r>
      <w:proofErr w:type="spellEnd"/>
      <w:r w:rsidRPr="00985B97">
        <w:rPr>
          <w:rFonts w:asciiTheme="majorHAnsi" w:hAnsiTheme="majorHAnsi" w:cstheme="majorHAnsi"/>
          <w:color w:val="000000" w:themeColor="text1"/>
          <w:lang w:val="es-ES"/>
        </w:rPr>
        <w:t>) desarrollada por Rhodes (1990) permite entender el relacionamiento entre el Ministerio y el Congreso más allá de la relación diádica formal entre dos poderes, incorporando al análisis a los gremios, las comisiones especializadas, los grupos parlamentarios y otros actores que participan de manera informal en la construcción de consensos legislativos. Desde esta perspectiva, el grado de institucionalización de la relación ejecutivo-legislativo no depende únicamente del diseño normativo formal, sino también de la densidad y estabilidad de estas redes relacionales, un aspecto central para distinguir entre un relacionamiento sostenido en vínculos personalistas coyunturales y uno institucionalizado en el tiempo.</w:t>
      </w:r>
    </w:p>
    <w:p w14:paraId="7A8B7810" w14:textId="77777777" w:rsidR="110633E4" w:rsidRPr="00985B97" w:rsidRDefault="110633E4" w:rsidP="00985B97">
      <w:pPr>
        <w:spacing w:after="0"/>
        <w:jc w:val="both"/>
        <w:rPr>
          <w:rFonts w:asciiTheme="majorHAnsi" w:hAnsiTheme="majorHAnsi" w:cstheme="majorHAnsi"/>
          <w:color w:val="000000" w:themeColor="text1"/>
          <w:lang w:val="es-ES"/>
        </w:rPr>
      </w:pPr>
    </w:p>
    <w:p w14:paraId="5389EC2E" w14:textId="77777777" w:rsidR="009B1480" w:rsidRPr="00985B97" w:rsidRDefault="7A4171CF" w:rsidP="00985B97">
      <w:pPr>
        <w:spacing w:after="0"/>
        <w:jc w:val="both"/>
        <w:rPr>
          <w:rFonts w:asciiTheme="majorHAnsi" w:hAnsiTheme="majorHAnsi" w:cstheme="majorHAnsi"/>
          <w:color w:val="000000" w:themeColor="text1"/>
          <w:lang w:val="es-ES"/>
        </w:rPr>
      </w:pPr>
      <w:r w:rsidRPr="00985B97">
        <w:rPr>
          <w:rFonts w:asciiTheme="majorHAnsi" w:hAnsiTheme="majorHAnsi" w:cstheme="majorHAnsi"/>
          <w:color w:val="000000" w:themeColor="text1"/>
          <w:lang w:val="es-ES"/>
        </w:rPr>
        <w:t xml:space="preserve">Para el caso que nos compete, la debilidad estructural del análisis estratégico legislativo a la hora de considerar los costos de agenciamiento por parte del Congreso, han debilitado la relación entre el Ministerio y el Congreso, obstaculizando la consolidación institucional requerida para acelerar la TEJ. En esta las acciones de </w:t>
      </w:r>
      <w:proofErr w:type="spellStart"/>
      <w:r w:rsidRPr="00985B97">
        <w:rPr>
          <w:rFonts w:asciiTheme="majorHAnsi" w:hAnsiTheme="majorHAnsi" w:cstheme="majorHAnsi"/>
          <w:color w:val="000000" w:themeColor="text1"/>
          <w:lang w:val="es-ES"/>
        </w:rPr>
        <w:t>MinEnergía</w:t>
      </w:r>
      <w:proofErr w:type="spellEnd"/>
      <w:r w:rsidRPr="00985B97">
        <w:rPr>
          <w:rFonts w:asciiTheme="majorHAnsi" w:hAnsiTheme="majorHAnsi" w:cstheme="majorHAnsi"/>
          <w:color w:val="000000" w:themeColor="text1"/>
          <w:lang w:val="es-ES"/>
        </w:rPr>
        <w:t xml:space="preserve"> deben buscan reducir costos de agencia mediante el diálogo, la negociación de incentivos, transparencia informativa y monitoreo proactivo, alineándose con las prioridades del principal legislativo en el contexto de fragmentación partidista.</w:t>
      </w:r>
    </w:p>
    <w:p w14:paraId="6D368FFA" w14:textId="77777777" w:rsidR="110633E4" w:rsidRPr="00985B97" w:rsidRDefault="739DF293" w:rsidP="00A86834">
      <w:pPr>
        <w:pStyle w:val="Ttulo1"/>
      </w:pPr>
      <w:bookmarkStart w:id="129" w:name="_Toc235092551"/>
      <w:bookmarkStart w:id="130" w:name="_Toc235107995"/>
      <w:bookmarkEnd w:id="120"/>
      <w:r w:rsidRPr="00985B97">
        <w:lastRenderedPageBreak/>
        <w:t>Marco conceptual</w:t>
      </w:r>
      <w:bookmarkEnd w:id="129"/>
      <w:bookmarkEnd w:id="130"/>
    </w:p>
    <w:p w14:paraId="613E5FE8" w14:textId="77777777" w:rsidR="4CCE0E54" w:rsidRPr="00985B97" w:rsidRDefault="4CCE0E54" w:rsidP="00985B97">
      <w:pPr>
        <w:pStyle w:val="Prrafodelista"/>
        <w:ind w:left="0"/>
        <w:jc w:val="both"/>
        <w:rPr>
          <w:rFonts w:asciiTheme="majorHAnsi" w:hAnsiTheme="majorHAnsi" w:cstheme="majorHAnsi"/>
        </w:rPr>
      </w:pPr>
      <w:r w:rsidRPr="00985B97">
        <w:rPr>
          <w:rFonts w:asciiTheme="majorHAnsi" w:hAnsiTheme="majorHAnsi" w:cstheme="majorHAnsi"/>
        </w:rPr>
        <w:t xml:space="preserve">El marco conceptual de investigación se construye a partir de la necesidad de comprender de qué manera los procesos legislativos, la formación de la agenda pública, la gobernabilidad y las políticas públicas se articulan en el diseño e implementación de la política de transición energética justa en Colombia.  </w:t>
      </w:r>
    </w:p>
    <w:p w14:paraId="30F22B50" w14:textId="77777777" w:rsidR="110633E4" w:rsidRPr="00985B97" w:rsidRDefault="110633E4" w:rsidP="00985B97">
      <w:pPr>
        <w:pStyle w:val="Prrafodelista"/>
        <w:ind w:left="0"/>
        <w:jc w:val="both"/>
        <w:rPr>
          <w:rFonts w:asciiTheme="majorHAnsi" w:hAnsiTheme="majorHAnsi" w:cstheme="majorHAnsi"/>
        </w:rPr>
      </w:pPr>
    </w:p>
    <w:p w14:paraId="55746258" w14:textId="77777777" w:rsidR="4CCE0E54" w:rsidRPr="00985B97" w:rsidRDefault="4CCE0E54" w:rsidP="00985B97">
      <w:pPr>
        <w:pStyle w:val="Prrafodelista"/>
        <w:ind w:left="0"/>
        <w:jc w:val="both"/>
        <w:rPr>
          <w:rFonts w:asciiTheme="majorHAnsi" w:hAnsiTheme="majorHAnsi" w:cstheme="majorHAnsi"/>
        </w:rPr>
      </w:pPr>
      <w:r w:rsidRPr="00985B97">
        <w:rPr>
          <w:rFonts w:asciiTheme="majorHAnsi" w:hAnsiTheme="majorHAnsi" w:cstheme="majorHAnsi"/>
        </w:rPr>
        <w:t>E</w:t>
      </w:r>
      <w:r w:rsidR="29155A59" w:rsidRPr="00985B97">
        <w:rPr>
          <w:rFonts w:asciiTheme="majorHAnsi" w:hAnsiTheme="majorHAnsi" w:cstheme="majorHAnsi"/>
        </w:rPr>
        <w:t>l</w:t>
      </w:r>
      <w:r w:rsidRPr="00985B97">
        <w:rPr>
          <w:rFonts w:asciiTheme="majorHAnsi" w:hAnsiTheme="majorHAnsi" w:cstheme="majorHAnsi"/>
        </w:rPr>
        <w:t xml:space="preserve"> </w:t>
      </w:r>
      <w:r w:rsidRPr="00985B97">
        <w:rPr>
          <w:rFonts w:asciiTheme="majorHAnsi" w:hAnsiTheme="majorHAnsi" w:cstheme="majorHAnsi"/>
          <w:b/>
          <w:bCs/>
        </w:rPr>
        <w:t>análisis estratégico legislativo</w:t>
      </w:r>
      <w:r w:rsidRPr="00985B97">
        <w:rPr>
          <w:rFonts w:asciiTheme="majorHAnsi" w:hAnsiTheme="majorHAnsi" w:cstheme="majorHAnsi"/>
        </w:rPr>
        <w:t xml:space="preserve"> (AEL) se entiende como el proceso sistemático mediante el cual el Ministerio de Minas y Energía estudia, prioriza y gestiona sus relaciones con el Congreso de la República, con el propósito de desarrollar normatividad técnica en los temas que le corresponde por mandato legal, apoyar en la construcción de políticas públicas y posicionar la agenda del sector minero energético en el legislativo. El abordaje del AEL va mucho más allá del diálogo coyuntural y constituye enfoque analítico clave para el relacionamiento institucional del Min Energía con actores externos, incorporando a su ejercicio herramientas como el diagnóstico de actores </w:t>
      </w:r>
      <w:proofErr w:type="spellStart"/>
      <w:r w:rsidRPr="00985B97">
        <w:rPr>
          <w:rFonts w:asciiTheme="majorHAnsi" w:hAnsiTheme="majorHAnsi" w:cstheme="majorHAnsi"/>
        </w:rPr>
        <w:t>congresionales</w:t>
      </w:r>
      <w:proofErr w:type="spellEnd"/>
      <w:r w:rsidRPr="00985B97">
        <w:rPr>
          <w:rFonts w:asciiTheme="majorHAnsi" w:hAnsiTheme="majorHAnsi" w:cstheme="majorHAnsi"/>
        </w:rPr>
        <w:t xml:space="preserve"> clave, mapeo de temas de interés y comisiones, análisis de flujos de proyectos y diseño de estrategias de "</w:t>
      </w:r>
      <w:proofErr w:type="spellStart"/>
      <w:r w:rsidRPr="00985B97">
        <w:rPr>
          <w:rFonts w:asciiTheme="majorHAnsi" w:hAnsiTheme="majorHAnsi" w:cstheme="majorHAnsi"/>
        </w:rPr>
        <w:t>softening</w:t>
      </w:r>
      <w:proofErr w:type="spellEnd"/>
      <w:r w:rsidRPr="00985B97">
        <w:rPr>
          <w:rFonts w:asciiTheme="majorHAnsi" w:hAnsiTheme="majorHAnsi" w:cstheme="majorHAnsi"/>
        </w:rPr>
        <w:t xml:space="preserve"> up" (</w:t>
      </w:r>
      <w:proofErr w:type="spellStart"/>
      <w:r w:rsidRPr="00985B97">
        <w:rPr>
          <w:rFonts w:asciiTheme="majorHAnsi" w:hAnsiTheme="majorHAnsi" w:cstheme="majorHAnsi"/>
        </w:rPr>
        <w:t>Kingdon</w:t>
      </w:r>
      <w:proofErr w:type="spellEnd"/>
      <w:r w:rsidRPr="00985B97">
        <w:rPr>
          <w:rFonts w:asciiTheme="majorHAnsi" w:hAnsiTheme="majorHAnsi" w:cstheme="majorHAnsi"/>
        </w:rPr>
        <w:t>, 2011; Delgado-</w:t>
      </w:r>
      <w:proofErr w:type="spellStart"/>
      <w:r w:rsidRPr="00985B97">
        <w:rPr>
          <w:rFonts w:asciiTheme="majorHAnsi" w:hAnsiTheme="majorHAnsi" w:cstheme="majorHAnsi"/>
        </w:rPr>
        <w:t>Guembes</w:t>
      </w:r>
      <w:proofErr w:type="spellEnd"/>
      <w:r w:rsidRPr="00985B97">
        <w:rPr>
          <w:rFonts w:asciiTheme="majorHAnsi" w:hAnsiTheme="majorHAnsi" w:cstheme="majorHAnsi"/>
        </w:rPr>
        <w:t xml:space="preserve">, 2020; Uribe, 2021). </w:t>
      </w:r>
    </w:p>
    <w:p w14:paraId="6CEDB257" w14:textId="77777777" w:rsidR="110633E4" w:rsidRPr="00985B97" w:rsidRDefault="110633E4" w:rsidP="00985B97">
      <w:pPr>
        <w:pStyle w:val="Prrafodelista"/>
        <w:ind w:left="0"/>
        <w:jc w:val="both"/>
        <w:rPr>
          <w:rFonts w:asciiTheme="majorHAnsi" w:hAnsiTheme="majorHAnsi" w:cstheme="majorHAnsi"/>
        </w:rPr>
      </w:pPr>
    </w:p>
    <w:p w14:paraId="75DFB4C7" w14:textId="77777777" w:rsidR="4CCE0E54" w:rsidRPr="00985B97" w:rsidRDefault="4CCE0E54" w:rsidP="00985B97">
      <w:pPr>
        <w:pStyle w:val="Prrafodelista"/>
        <w:ind w:left="0"/>
        <w:jc w:val="both"/>
        <w:rPr>
          <w:rFonts w:asciiTheme="majorHAnsi" w:hAnsiTheme="majorHAnsi" w:cstheme="majorHAnsi"/>
        </w:rPr>
      </w:pPr>
      <w:r w:rsidRPr="00985B97">
        <w:rPr>
          <w:rFonts w:asciiTheme="majorHAnsi" w:hAnsiTheme="majorHAnsi" w:cstheme="majorHAnsi"/>
        </w:rPr>
        <w:t xml:space="preserve">Para precisar el </w:t>
      </w:r>
      <w:r w:rsidRPr="00985B97">
        <w:rPr>
          <w:rFonts w:asciiTheme="majorHAnsi" w:hAnsiTheme="majorHAnsi" w:cstheme="majorHAnsi"/>
          <w:b/>
          <w:bCs/>
        </w:rPr>
        <w:t xml:space="preserve">control </w:t>
      </w:r>
      <w:r w:rsidRPr="00985B97">
        <w:rPr>
          <w:rFonts w:asciiTheme="majorHAnsi" w:hAnsiTheme="majorHAnsi" w:cstheme="majorHAnsi"/>
        </w:rPr>
        <w:t xml:space="preserve">como un factor fundamental en el relacionamiento legislativo-ejecutivo, este trabajo hace una diferenciación entre el control político y el control legislativo. </w:t>
      </w:r>
    </w:p>
    <w:p w14:paraId="22273C31" w14:textId="77777777" w:rsidR="110633E4" w:rsidRPr="00985B97" w:rsidRDefault="110633E4" w:rsidP="00985B97">
      <w:pPr>
        <w:pStyle w:val="Prrafodelista"/>
        <w:ind w:left="0"/>
        <w:jc w:val="both"/>
        <w:rPr>
          <w:rFonts w:asciiTheme="majorHAnsi" w:hAnsiTheme="majorHAnsi" w:cstheme="majorHAnsi"/>
        </w:rPr>
      </w:pPr>
    </w:p>
    <w:p w14:paraId="563CEE0E" w14:textId="77777777" w:rsidR="4CCE0E54" w:rsidRPr="00985B97" w:rsidRDefault="4CCE0E54" w:rsidP="00985B97">
      <w:pPr>
        <w:pStyle w:val="Prrafodelista"/>
        <w:ind w:left="0"/>
        <w:jc w:val="both"/>
        <w:rPr>
          <w:rFonts w:asciiTheme="majorHAnsi" w:hAnsiTheme="majorHAnsi" w:cstheme="majorHAnsi"/>
        </w:rPr>
      </w:pPr>
      <w:r w:rsidRPr="00985B97">
        <w:rPr>
          <w:rFonts w:asciiTheme="majorHAnsi" w:hAnsiTheme="majorHAnsi" w:cstheme="majorHAnsi"/>
        </w:rPr>
        <w:t xml:space="preserve">El </w:t>
      </w:r>
      <w:r w:rsidRPr="00985B97">
        <w:rPr>
          <w:rFonts w:asciiTheme="majorHAnsi" w:hAnsiTheme="majorHAnsi" w:cstheme="majorHAnsi"/>
          <w:b/>
          <w:bCs/>
        </w:rPr>
        <w:t>control político</w:t>
      </w:r>
      <w:r w:rsidRPr="00985B97">
        <w:rPr>
          <w:rFonts w:asciiTheme="majorHAnsi" w:hAnsiTheme="majorHAnsi" w:cstheme="majorHAnsi"/>
        </w:rPr>
        <w:t xml:space="preserve">, consagrado en el art. 208 de la Constitución Política de 1991, se define como un mecanismo del Congreso para conocer, exigir y garantizar la responsabilidad política de las autoridades elegidas por voto popular y de los ministros, directores y jefes de la administración en el ejercicio del poder y la gestión gubernamental. </w:t>
      </w:r>
    </w:p>
    <w:p w14:paraId="7A856926" w14:textId="77777777" w:rsidR="110633E4" w:rsidRPr="00985B97" w:rsidRDefault="110633E4" w:rsidP="00985B97">
      <w:pPr>
        <w:pStyle w:val="Prrafodelista"/>
        <w:ind w:left="0"/>
        <w:jc w:val="both"/>
        <w:rPr>
          <w:rFonts w:asciiTheme="majorHAnsi" w:hAnsiTheme="majorHAnsi" w:cstheme="majorHAnsi"/>
        </w:rPr>
      </w:pPr>
    </w:p>
    <w:p w14:paraId="6B1FBD61" w14:textId="77777777" w:rsidR="4CCE0E54" w:rsidRPr="00985B97" w:rsidRDefault="4CCE0E54" w:rsidP="00985B97">
      <w:pPr>
        <w:pStyle w:val="Prrafodelista"/>
        <w:ind w:left="0"/>
        <w:jc w:val="both"/>
        <w:rPr>
          <w:rFonts w:asciiTheme="majorHAnsi" w:hAnsiTheme="majorHAnsi" w:cstheme="majorHAnsi"/>
        </w:rPr>
      </w:pPr>
      <w:r w:rsidRPr="00985B97">
        <w:rPr>
          <w:rFonts w:asciiTheme="majorHAnsi" w:hAnsiTheme="majorHAnsi" w:cstheme="majorHAnsi"/>
        </w:rPr>
        <w:t xml:space="preserve">De otro lado, el </w:t>
      </w:r>
      <w:r w:rsidRPr="00985B97">
        <w:rPr>
          <w:rFonts w:asciiTheme="majorHAnsi" w:hAnsiTheme="majorHAnsi" w:cstheme="majorHAnsi"/>
          <w:b/>
          <w:bCs/>
        </w:rPr>
        <w:t>control legislativo</w:t>
      </w:r>
      <w:r w:rsidRPr="00985B97">
        <w:rPr>
          <w:rFonts w:asciiTheme="majorHAnsi" w:hAnsiTheme="majorHAnsi" w:cstheme="majorHAnsi"/>
        </w:rPr>
        <w:t xml:space="preserve"> está enfocado en la verificación del legislativo sobre la ejecución normativa y presupuestal de las actividades de la administración, es decir, la vigilancia sobre la acción general del gobierno respecto de sus los normativos que lo regulan (López y Gómez, 2011). </w:t>
      </w:r>
    </w:p>
    <w:p w14:paraId="3BB125B4" w14:textId="77777777" w:rsidR="110633E4" w:rsidRPr="00985B97" w:rsidRDefault="110633E4" w:rsidP="00985B97">
      <w:pPr>
        <w:pStyle w:val="Prrafodelista"/>
        <w:ind w:left="0"/>
        <w:jc w:val="both"/>
        <w:rPr>
          <w:rFonts w:asciiTheme="majorHAnsi" w:hAnsiTheme="majorHAnsi" w:cstheme="majorHAnsi"/>
        </w:rPr>
      </w:pPr>
    </w:p>
    <w:p w14:paraId="160040C9" w14:textId="77777777" w:rsidR="4CCE0E54" w:rsidRPr="00985B97" w:rsidRDefault="4CCE0E54" w:rsidP="00985B97">
      <w:pPr>
        <w:pStyle w:val="Prrafodelista"/>
        <w:ind w:left="0"/>
        <w:jc w:val="both"/>
        <w:rPr>
          <w:rFonts w:asciiTheme="majorHAnsi" w:hAnsiTheme="majorHAnsi" w:cstheme="majorHAnsi"/>
        </w:rPr>
      </w:pPr>
      <w:r w:rsidRPr="00985B97">
        <w:rPr>
          <w:rFonts w:asciiTheme="majorHAnsi" w:hAnsiTheme="majorHAnsi" w:cstheme="majorHAnsi"/>
        </w:rPr>
        <w:t xml:space="preserve">En el contexto de la teoría principal-agente, el control político es la principal forma de monitoreo del Congreso sobre el Ministerio, la cual se ejecuta mediante citaciones obligatorias y mociones de censura, </w:t>
      </w:r>
      <w:r w:rsidRPr="00985B97">
        <w:rPr>
          <w:rFonts w:asciiTheme="majorHAnsi" w:hAnsiTheme="majorHAnsi" w:cstheme="majorHAnsi"/>
        </w:rPr>
        <w:lastRenderedPageBreak/>
        <w:t xml:space="preserve">bien sea para mitigar asimetrías de información inherentes a la especialización técnica del Ministerio, o para rendir cuentas sobre un tema de particular interés para el Congreso. La debilidad estructural del AEL puede transformar estos mecanismos proactivos en intervenciones reactivas, generando altos costos de agenciamiento de las políticas que obstaculizan el desarrollo de la TEJ. </w:t>
      </w:r>
    </w:p>
    <w:p w14:paraId="22C2230E" w14:textId="77777777" w:rsidR="110633E4" w:rsidRPr="00985B97" w:rsidRDefault="110633E4" w:rsidP="00985B97">
      <w:pPr>
        <w:pStyle w:val="Prrafodelista"/>
        <w:ind w:left="0"/>
        <w:jc w:val="both"/>
        <w:rPr>
          <w:rFonts w:asciiTheme="majorHAnsi" w:hAnsiTheme="majorHAnsi" w:cstheme="majorHAnsi"/>
        </w:rPr>
      </w:pPr>
    </w:p>
    <w:p w14:paraId="0CC7A73B" w14:textId="77777777" w:rsidR="4CCE0E54" w:rsidRPr="00985B97" w:rsidRDefault="4CCE0E54" w:rsidP="00985B97">
      <w:pPr>
        <w:pStyle w:val="Prrafodelista"/>
        <w:ind w:left="0"/>
        <w:jc w:val="both"/>
        <w:rPr>
          <w:rFonts w:asciiTheme="majorHAnsi" w:hAnsiTheme="majorHAnsi" w:cstheme="majorHAnsi"/>
        </w:rPr>
      </w:pPr>
      <w:r w:rsidRPr="00985B97">
        <w:rPr>
          <w:rFonts w:asciiTheme="majorHAnsi" w:hAnsiTheme="majorHAnsi" w:cstheme="majorHAnsi"/>
        </w:rPr>
        <w:t xml:space="preserve">De otra parte, es importante abordar la formación de la </w:t>
      </w:r>
      <w:r w:rsidRPr="00985B97">
        <w:rPr>
          <w:rFonts w:asciiTheme="majorHAnsi" w:hAnsiTheme="majorHAnsi" w:cstheme="majorHAnsi"/>
          <w:b/>
          <w:bCs/>
        </w:rPr>
        <w:t>agenda pública</w:t>
      </w:r>
      <w:r w:rsidRPr="00985B97">
        <w:rPr>
          <w:rFonts w:asciiTheme="majorHAnsi" w:hAnsiTheme="majorHAnsi" w:cstheme="majorHAnsi"/>
        </w:rPr>
        <w:t xml:space="preserve"> como un proceso mediante el cual las problemáticas públicas o los temas de interés general sin definidos como tal por los actores más relevantes en el sistema político, y entran a formar parte de un abordaje gubernamental. No se trata de un proceso ordenado o meramente secuencial, sino el resultado de luchas de poder organizacional entre agentes institucionales, que compiten por la atención limitada de los responsables de decisiones (Jenkins, William, 1978). </w:t>
      </w:r>
    </w:p>
    <w:p w14:paraId="62673F6C" w14:textId="77777777" w:rsidR="110633E4" w:rsidRPr="00985B97" w:rsidRDefault="110633E4" w:rsidP="00985B97">
      <w:pPr>
        <w:pStyle w:val="Prrafodelista"/>
        <w:ind w:left="0"/>
        <w:jc w:val="both"/>
        <w:rPr>
          <w:rFonts w:asciiTheme="majorHAnsi" w:hAnsiTheme="majorHAnsi" w:cstheme="majorHAnsi"/>
        </w:rPr>
      </w:pPr>
    </w:p>
    <w:p w14:paraId="2DF90CE5" w14:textId="77777777" w:rsidR="4CCE0E54" w:rsidRPr="00985B97" w:rsidRDefault="4CCE0E54" w:rsidP="00985B97">
      <w:pPr>
        <w:pStyle w:val="Prrafodelista"/>
        <w:ind w:left="0"/>
        <w:jc w:val="both"/>
        <w:rPr>
          <w:rFonts w:asciiTheme="majorHAnsi" w:hAnsiTheme="majorHAnsi" w:cstheme="majorHAnsi"/>
        </w:rPr>
      </w:pPr>
      <w:r w:rsidRPr="00985B97">
        <w:rPr>
          <w:rFonts w:asciiTheme="majorHAnsi" w:hAnsiTheme="majorHAnsi" w:cstheme="majorHAnsi"/>
        </w:rPr>
        <w:t>El agendamiento es un proceso político que implica identificar qué problemas merecen atención para el gobierno nacional o local, a partir de un conjunto más amplio de demandas sociales, lo que también lo hace dependiente de la estructura organizacional del gobierno (Jenkins, 1978), y, a su vez, lo convierte en un campo de lucha de intereses de los actores dentro de marcos de acción formal e informal que inciden en las políticas públicas (</w:t>
      </w:r>
      <w:proofErr w:type="spellStart"/>
      <w:r w:rsidRPr="00985B97">
        <w:rPr>
          <w:rFonts w:asciiTheme="majorHAnsi" w:hAnsiTheme="majorHAnsi" w:cstheme="majorHAnsi"/>
        </w:rPr>
        <w:t>Alzate</w:t>
      </w:r>
      <w:proofErr w:type="spellEnd"/>
      <w:r w:rsidRPr="00985B97">
        <w:rPr>
          <w:rFonts w:asciiTheme="majorHAnsi" w:hAnsiTheme="majorHAnsi" w:cstheme="majorHAnsi"/>
        </w:rPr>
        <w:t xml:space="preserve"> y Romo, 2017). </w:t>
      </w:r>
    </w:p>
    <w:p w14:paraId="46706DEE" w14:textId="77777777" w:rsidR="110633E4" w:rsidRPr="00985B97" w:rsidRDefault="110633E4" w:rsidP="00985B97">
      <w:pPr>
        <w:pStyle w:val="Prrafodelista"/>
        <w:ind w:left="0"/>
        <w:jc w:val="both"/>
        <w:rPr>
          <w:rFonts w:asciiTheme="majorHAnsi" w:hAnsiTheme="majorHAnsi" w:cstheme="majorHAnsi"/>
        </w:rPr>
      </w:pPr>
    </w:p>
    <w:p w14:paraId="62361AE7" w14:textId="77777777" w:rsidR="4CCE0E54" w:rsidRPr="00985B97" w:rsidRDefault="4CCE0E54" w:rsidP="00985B97">
      <w:pPr>
        <w:pStyle w:val="Prrafodelista"/>
        <w:ind w:left="0"/>
        <w:jc w:val="both"/>
        <w:rPr>
          <w:rFonts w:asciiTheme="majorHAnsi" w:hAnsiTheme="majorHAnsi" w:cstheme="majorHAnsi"/>
        </w:rPr>
      </w:pPr>
      <w:r w:rsidRPr="00985B97">
        <w:rPr>
          <w:rFonts w:asciiTheme="majorHAnsi" w:hAnsiTheme="majorHAnsi" w:cstheme="majorHAnsi"/>
        </w:rPr>
        <w:t xml:space="preserve">En este sentido, la definición que así se aborda sobre </w:t>
      </w:r>
      <w:r w:rsidRPr="00985B97">
        <w:rPr>
          <w:rFonts w:asciiTheme="majorHAnsi" w:hAnsiTheme="majorHAnsi" w:cstheme="majorHAnsi"/>
          <w:b/>
          <w:bCs/>
        </w:rPr>
        <w:t>políticas públicas</w:t>
      </w:r>
      <w:r w:rsidRPr="00985B97">
        <w:rPr>
          <w:rFonts w:asciiTheme="majorHAnsi" w:hAnsiTheme="majorHAnsi" w:cstheme="majorHAnsi"/>
        </w:rPr>
        <w:t xml:space="preserve"> es la que presenta Velázquez, según el cual se trata de</w:t>
      </w:r>
      <w:r w:rsidR="1B5483A2" w:rsidRPr="00985B97">
        <w:rPr>
          <w:rFonts w:asciiTheme="majorHAnsi" w:hAnsiTheme="majorHAnsi" w:cstheme="majorHAnsi"/>
        </w:rPr>
        <w:t xml:space="preserve"> </w:t>
      </w:r>
    </w:p>
    <w:p w14:paraId="50B2E8C8" w14:textId="77777777" w:rsidR="4CCE0E54" w:rsidRPr="00985B97" w:rsidRDefault="4CCE0E54" w:rsidP="00985B97">
      <w:pPr>
        <w:pStyle w:val="Prrafodelista"/>
        <w:jc w:val="both"/>
        <w:rPr>
          <w:rFonts w:asciiTheme="majorHAnsi" w:hAnsiTheme="majorHAnsi" w:cstheme="majorHAnsi"/>
        </w:rPr>
      </w:pPr>
      <w:r w:rsidRPr="00985B97">
        <w:rPr>
          <w:rFonts w:asciiTheme="majorHAnsi" w:hAnsiTheme="majorHAnsi" w:cstheme="majorHAnsi"/>
        </w:rPr>
        <w:t xml:space="preserve">un proceso integrador de decisiones, acciones, inacciones, acuerdos e instrumentos, adelantado por autoridades púbicas con la participación eventual de los particulares, y encaminado a solucionar o prevenir una situación definida como problemática. La política pública hace parte de un ambiente determinado del cual se nutre y al cual pretende modificar o mantener (…) y será exitosa cuando logre producir los resultados previstos por sus autores, contribuyendo a la reducción del problema o a su prevención; sin embargo, esto no siempre ocurre, pudiendo fracasar total o parcialmente, incluso agravando la situación considerada inicialmente. (Velásquez, 2010, p. 156). </w:t>
      </w:r>
    </w:p>
    <w:p w14:paraId="7A992AD4" w14:textId="77777777" w:rsidR="110633E4" w:rsidRPr="00985B97" w:rsidRDefault="110633E4" w:rsidP="00985B97">
      <w:pPr>
        <w:pStyle w:val="Prrafodelista"/>
        <w:ind w:left="0"/>
        <w:jc w:val="both"/>
        <w:rPr>
          <w:rFonts w:asciiTheme="majorHAnsi" w:hAnsiTheme="majorHAnsi" w:cstheme="majorHAnsi"/>
        </w:rPr>
      </w:pPr>
    </w:p>
    <w:p w14:paraId="610CEF9D" w14:textId="77777777" w:rsidR="18A6F7E8" w:rsidRPr="00985B97" w:rsidRDefault="18A6F7E8" w:rsidP="00985B97">
      <w:pPr>
        <w:pStyle w:val="Prrafodelista"/>
        <w:ind w:left="0"/>
        <w:jc w:val="both"/>
        <w:rPr>
          <w:rFonts w:asciiTheme="majorHAnsi" w:hAnsiTheme="majorHAnsi" w:cstheme="majorHAnsi"/>
        </w:rPr>
      </w:pPr>
      <w:r w:rsidRPr="00985B97">
        <w:rPr>
          <w:rFonts w:asciiTheme="majorHAnsi" w:hAnsiTheme="majorHAnsi" w:cstheme="majorHAnsi"/>
        </w:rPr>
        <w:lastRenderedPageBreak/>
        <w:t>Para el caso de estudio, y d</w:t>
      </w:r>
      <w:r w:rsidR="4CCE0E54" w:rsidRPr="00985B97">
        <w:rPr>
          <w:rFonts w:asciiTheme="majorHAnsi" w:hAnsiTheme="majorHAnsi" w:cstheme="majorHAnsi"/>
        </w:rPr>
        <w:t xml:space="preserve">e manera más precisa, la </w:t>
      </w:r>
      <w:r w:rsidR="4CCE0E54" w:rsidRPr="00985B97">
        <w:rPr>
          <w:rFonts w:asciiTheme="majorHAnsi" w:hAnsiTheme="majorHAnsi" w:cstheme="majorHAnsi"/>
          <w:b/>
          <w:bCs/>
        </w:rPr>
        <w:t>política de transición energética justa (TEJ)</w:t>
      </w:r>
      <w:r w:rsidR="4CCE0E54" w:rsidRPr="00985B97">
        <w:rPr>
          <w:rFonts w:asciiTheme="majorHAnsi" w:hAnsiTheme="majorHAnsi" w:cstheme="majorHAnsi"/>
        </w:rPr>
        <w:t xml:space="preserve"> es un proceso de transformación integral, que diseña, articula, e implementa, estrategias intersectoriales para la sustitución progresiva de los combustibles fósiles por Fuentes No Convencionales de Energía Renovable (FNECR), garantizando un sistema energético más equitativo e impulsando un crecimiento sostenible, eficiente, tecnológico, ambiental, y social” (UPME, s. f., CONPES 4075 de 2022). </w:t>
      </w:r>
    </w:p>
    <w:p w14:paraId="485149C1" w14:textId="77777777" w:rsidR="110633E4" w:rsidRPr="00985B97" w:rsidRDefault="110633E4" w:rsidP="00985B97">
      <w:pPr>
        <w:pStyle w:val="Prrafodelista"/>
        <w:ind w:left="0"/>
        <w:jc w:val="both"/>
        <w:rPr>
          <w:rFonts w:asciiTheme="majorHAnsi" w:hAnsiTheme="majorHAnsi" w:cstheme="majorHAnsi"/>
        </w:rPr>
      </w:pPr>
    </w:p>
    <w:p w14:paraId="71874448" w14:textId="77777777" w:rsidR="4CCE0E54" w:rsidRPr="00985B97" w:rsidRDefault="4CCE0E54" w:rsidP="00985B97">
      <w:pPr>
        <w:pStyle w:val="Prrafodelista"/>
        <w:ind w:left="0"/>
        <w:jc w:val="both"/>
        <w:rPr>
          <w:rFonts w:asciiTheme="majorHAnsi" w:hAnsiTheme="majorHAnsi" w:cstheme="majorHAnsi"/>
        </w:rPr>
      </w:pPr>
      <w:r w:rsidRPr="00985B97">
        <w:rPr>
          <w:rFonts w:asciiTheme="majorHAnsi" w:hAnsiTheme="majorHAnsi" w:cstheme="majorHAnsi"/>
        </w:rPr>
        <w:t xml:space="preserve">La TEJ, basada en los principios de equidad, gradualidad, soberanía y confiabilidad, participación social vinculante, ciencia, innovación y formación continua, tiene un horizonte de ejecución de seis años entre 2022 y 2028, y propone una serie de lineamientos y estrategias para </w:t>
      </w:r>
    </w:p>
    <w:p w14:paraId="6D536FD2" w14:textId="77777777" w:rsidR="4CCE0E54" w:rsidRPr="00985B97" w:rsidRDefault="4CCE0E54" w:rsidP="00985B97">
      <w:pPr>
        <w:pStyle w:val="Prrafodelista"/>
        <w:jc w:val="both"/>
        <w:rPr>
          <w:rFonts w:asciiTheme="majorHAnsi" w:hAnsiTheme="majorHAnsi" w:cstheme="majorHAnsi"/>
        </w:rPr>
      </w:pPr>
      <w:r w:rsidRPr="00985B97">
        <w:rPr>
          <w:rFonts w:asciiTheme="majorHAnsi" w:hAnsiTheme="majorHAnsi" w:cstheme="majorHAnsi"/>
        </w:rPr>
        <w:t>incrementar la seguridad energética; incentivar el conocimiento y la innovación en transición energética; generar mayor competitividad y desarrollo económico desde el sector energético, y desarrollar un sistema energético con bajas emisiones de GEI en el marco de la realidad colombiana. (CONPES 4075 de 2022, p. 11)</w:t>
      </w:r>
      <w:r w:rsidR="62AB328D" w:rsidRPr="00985B97">
        <w:rPr>
          <w:rFonts w:asciiTheme="majorHAnsi" w:hAnsiTheme="majorHAnsi" w:cstheme="majorHAnsi"/>
        </w:rPr>
        <w:t>.</w:t>
      </w:r>
    </w:p>
    <w:p w14:paraId="34F5BA42" w14:textId="77777777" w:rsidR="110633E4" w:rsidRPr="00985B97" w:rsidRDefault="110633E4" w:rsidP="00985B97">
      <w:pPr>
        <w:pStyle w:val="Prrafodelista"/>
        <w:jc w:val="both"/>
        <w:rPr>
          <w:rFonts w:asciiTheme="majorHAnsi" w:hAnsiTheme="majorHAnsi" w:cstheme="majorHAnsi"/>
        </w:rPr>
      </w:pPr>
    </w:p>
    <w:p w14:paraId="51F75044" w14:textId="77777777" w:rsidR="4CCE0E54" w:rsidRPr="00985B97" w:rsidRDefault="4CCE0E54" w:rsidP="00985B97">
      <w:pPr>
        <w:pStyle w:val="Prrafodelista"/>
        <w:ind w:left="0"/>
        <w:jc w:val="both"/>
        <w:rPr>
          <w:rFonts w:asciiTheme="majorHAnsi" w:hAnsiTheme="majorHAnsi" w:cstheme="majorHAnsi"/>
        </w:rPr>
      </w:pPr>
      <w:r w:rsidRPr="00985B97">
        <w:rPr>
          <w:rFonts w:asciiTheme="majorHAnsi" w:hAnsiTheme="majorHAnsi" w:cstheme="majorHAnsi"/>
        </w:rPr>
        <w:t xml:space="preserve">Finalmente, es importante resaltar la noción de </w:t>
      </w:r>
      <w:r w:rsidRPr="00985B97">
        <w:rPr>
          <w:rFonts w:asciiTheme="majorHAnsi" w:hAnsiTheme="majorHAnsi" w:cstheme="majorHAnsi"/>
          <w:b/>
          <w:bCs/>
        </w:rPr>
        <w:t xml:space="preserve">gobernabilidad </w:t>
      </w:r>
      <w:r w:rsidRPr="00985B97">
        <w:rPr>
          <w:rFonts w:asciiTheme="majorHAnsi" w:hAnsiTheme="majorHAnsi" w:cstheme="majorHAnsi"/>
        </w:rPr>
        <w:t xml:space="preserve">como la capacidad política del gobierno para “intermediar intereses, garantizar la legitimidad y gobernar” (Vargas, 2005, p. 329). Este concepto suele presentar dos acepciones: como gobernabilidad democrática y como grado de gobierno. </w:t>
      </w:r>
    </w:p>
    <w:p w14:paraId="17CF15D3" w14:textId="77777777" w:rsidR="110633E4" w:rsidRPr="00985B97" w:rsidRDefault="110633E4" w:rsidP="00985B97">
      <w:pPr>
        <w:pStyle w:val="Prrafodelista"/>
        <w:ind w:left="0"/>
        <w:jc w:val="both"/>
        <w:rPr>
          <w:rFonts w:asciiTheme="majorHAnsi" w:hAnsiTheme="majorHAnsi" w:cstheme="majorHAnsi"/>
        </w:rPr>
      </w:pPr>
    </w:p>
    <w:p w14:paraId="7E850050" w14:textId="77777777" w:rsidR="4CCE0E54" w:rsidRPr="00985B97" w:rsidRDefault="4CCE0E54" w:rsidP="00985B97">
      <w:pPr>
        <w:pStyle w:val="Prrafodelista"/>
        <w:ind w:left="0"/>
        <w:jc w:val="both"/>
        <w:rPr>
          <w:rFonts w:asciiTheme="majorHAnsi" w:hAnsiTheme="majorHAnsi" w:cstheme="majorHAnsi"/>
        </w:rPr>
      </w:pPr>
      <w:r w:rsidRPr="00985B97">
        <w:rPr>
          <w:rFonts w:asciiTheme="majorHAnsi" w:hAnsiTheme="majorHAnsi" w:cstheme="majorHAnsi"/>
        </w:rPr>
        <w:t xml:space="preserve">La gobernabilidad democrática es la forma en que los actores estratégicos, con una representación proporcional a su grado de poder, resuelven sus conflictos acatando las decisiones de otras instituciones del orden democrático, mediante procesos en los que confluyen múltiples intereses en un ámbito de plenas garantías y libertades (Vargas, 2005). Mientras que la gobernabilidad como grado de gobierno, hace referencia a la percepción ciudadana sobre el desempeño del gobierno. </w:t>
      </w:r>
    </w:p>
    <w:p w14:paraId="4F69F3E6" w14:textId="77777777" w:rsidR="110633E4" w:rsidRPr="00985B97" w:rsidRDefault="110633E4" w:rsidP="00985B97">
      <w:pPr>
        <w:pStyle w:val="Prrafodelista"/>
        <w:ind w:left="0"/>
        <w:jc w:val="both"/>
        <w:rPr>
          <w:rFonts w:asciiTheme="majorHAnsi" w:hAnsiTheme="majorHAnsi" w:cstheme="majorHAnsi"/>
        </w:rPr>
      </w:pPr>
    </w:p>
    <w:p w14:paraId="2EBE9BB1" w14:textId="77777777" w:rsidR="009B1480" w:rsidRPr="00985B97" w:rsidRDefault="4CCE0E54" w:rsidP="00985B97">
      <w:pPr>
        <w:pStyle w:val="Prrafodelista"/>
        <w:ind w:left="0"/>
        <w:jc w:val="both"/>
        <w:rPr>
          <w:rFonts w:asciiTheme="majorHAnsi" w:hAnsiTheme="majorHAnsi" w:cstheme="majorHAnsi"/>
        </w:rPr>
      </w:pPr>
      <w:r w:rsidRPr="00985B97">
        <w:rPr>
          <w:rFonts w:asciiTheme="majorHAnsi" w:hAnsiTheme="majorHAnsi" w:cstheme="majorHAnsi"/>
        </w:rPr>
        <w:t xml:space="preserve">La gobernabilidad se configura como una </w:t>
      </w:r>
      <w:proofErr w:type="gramStart"/>
      <w:r w:rsidRPr="00985B97">
        <w:rPr>
          <w:rFonts w:asciiTheme="majorHAnsi" w:hAnsiTheme="majorHAnsi" w:cstheme="majorHAnsi"/>
        </w:rPr>
        <w:t>variable resultado</w:t>
      </w:r>
      <w:proofErr w:type="gramEnd"/>
      <w:r w:rsidRPr="00985B97">
        <w:rPr>
          <w:rFonts w:asciiTheme="majorHAnsi" w:hAnsiTheme="majorHAnsi" w:cstheme="majorHAnsi"/>
        </w:rPr>
        <w:t xml:space="preserve"> en el análisis de la relación </w:t>
      </w:r>
      <w:proofErr w:type="spellStart"/>
      <w:r w:rsidRPr="00985B97">
        <w:rPr>
          <w:rFonts w:asciiTheme="majorHAnsi" w:hAnsiTheme="majorHAnsi" w:cstheme="majorHAnsi"/>
        </w:rPr>
        <w:t>MinEnergía</w:t>
      </w:r>
      <w:proofErr w:type="spellEnd"/>
      <w:r w:rsidRPr="00985B97">
        <w:rPr>
          <w:rFonts w:asciiTheme="majorHAnsi" w:hAnsiTheme="majorHAnsi" w:cstheme="majorHAnsi"/>
        </w:rPr>
        <w:t>-Congreso, que permite medir la eficacia institucional del Ministerio para acelerar la Transición Energética Justa (TEJ).</w:t>
      </w:r>
    </w:p>
    <w:p w14:paraId="6167A6AC" w14:textId="77777777" w:rsidR="110633E4" w:rsidRPr="00985B97" w:rsidRDefault="739DF293" w:rsidP="00A86834">
      <w:pPr>
        <w:pStyle w:val="Ttulo1"/>
      </w:pPr>
      <w:bookmarkStart w:id="131" w:name="_Toc235092552"/>
      <w:bookmarkStart w:id="132" w:name="_Toc235107996"/>
      <w:r w:rsidRPr="00985B97">
        <w:lastRenderedPageBreak/>
        <w:t>Marco normativo</w:t>
      </w:r>
      <w:bookmarkEnd w:id="131"/>
      <w:bookmarkEnd w:id="132"/>
    </w:p>
    <w:p w14:paraId="6071F85D" w14:textId="77777777" w:rsidR="377B554C" w:rsidRPr="00985B97" w:rsidRDefault="377B554C" w:rsidP="00985B97">
      <w:pPr>
        <w:pStyle w:val="Prrafodelista"/>
        <w:ind w:left="0"/>
        <w:jc w:val="both"/>
        <w:rPr>
          <w:rFonts w:asciiTheme="majorHAnsi" w:hAnsiTheme="majorHAnsi" w:cstheme="majorHAnsi"/>
        </w:rPr>
      </w:pPr>
      <w:r w:rsidRPr="00985B97">
        <w:rPr>
          <w:rFonts w:asciiTheme="majorHAnsi" w:hAnsiTheme="majorHAnsi" w:cstheme="majorHAnsi"/>
        </w:rPr>
        <w:t xml:space="preserve">El marco normativo que sustenta esta investigación se encuentra en la intersección entre el orden constitucional colombiano, la legislación sectorial en materia energética y las disposiciones que regulan la relación entre el poder ejecutivo y el legislativo. </w:t>
      </w:r>
    </w:p>
    <w:p w14:paraId="0F51E67F" w14:textId="77777777" w:rsidR="110633E4" w:rsidRPr="00985B97" w:rsidRDefault="110633E4" w:rsidP="00985B97">
      <w:pPr>
        <w:pStyle w:val="Prrafodelista"/>
        <w:ind w:left="0"/>
        <w:jc w:val="both"/>
        <w:rPr>
          <w:rFonts w:asciiTheme="majorHAnsi" w:hAnsiTheme="majorHAnsi" w:cstheme="majorHAnsi"/>
        </w:rPr>
      </w:pPr>
    </w:p>
    <w:p w14:paraId="54046064" w14:textId="77777777" w:rsidR="377B554C" w:rsidRPr="00985B97" w:rsidRDefault="377B554C" w:rsidP="00985B97">
      <w:pPr>
        <w:pStyle w:val="Prrafodelista"/>
        <w:ind w:left="0"/>
        <w:jc w:val="both"/>
        <w:rPr>
          <w:rFonts w:asciiTheme="majorHAnsi" w:hAnsiTheme="majorHAnsi" w:cstheme="majorHAnsi"/>
        </w:rPr>
      </w:pPr>
      <w:r w:rsidRPr="00985B97">
        <w:rPr>
          <w:rFonts w:asciiTheme="majorHAnsi" w:hAnsiTheme="majorHAnsi" w:cstheme="majorHAnsi"/>
        </w:rPr>
        <w:t xml:space="preserve">En primer lugar, la relación entre el Ministerio de Minas y Energía y el Congreso de la República se fundamenta en la división funcional de las ramas del poder público, planteada en la </w:t>
      </w:r>
      <w:r w:rsidRPr="00985B97">
        <w:rPr>
          <w:rFonts w:asciiTheme="majorHAnsi" w:hAnsiTheme="majorHAnsi" w:cstheme="majorHAnsi"/>
          <w:b/>
          <w:bCs/>
        </w:rPr>
        <w:t>Constitución Política de Colombia de 1991</w:t>
      </w:r>
      <w:r w:rsidRPr="00985B97">
        <w:rPr>
          <w:rFonts w:asciiTheme="majorHAnsi" w:hAnsiTheme="majorHAnsi" w:cstheme="majorHAnsi"/>
        </w:rPr>
        <w:t xml:space="preserve"> (Arts. 113, 132, 189), donde el Congreso ostenta la función de legislar sobre el marco de acción de la TEJ (Art. 150). A su vez, el artículo 208 consagra el control político como facultad del cuerpo legislativo para exigir responsabilidad a los ministros y directores de entidades administrativas, mientras que el control legislativo se materializa en la verificación de la ejecución normativa y presupuestal, lo que implica una vigilancia constante sobre la acción gubernamental en el sector energético. Estos mecanismos normativos son esenciales para comprender cómo el análisis estratégico legislativo se convierte en un factor condicionante de la relación institucional. </w:t>
      </w:r>
    </w:p>
    <w:p w14:paraId="46F2B664" w14:textId="77777777" w:rsidR="110633E4" w:rsidRPr="00985B97" w:rsidRDefault="110633E4" w:rsidP="00985B97">
      <w:pPr>
        <w:pStyle w:val="Prrafodelista"/>
        <w:ind w:left="0"/>
        <w:jc w:val="both"/>
        <w:rPr>
          <w:rFonts w:asciiTheme="majorHAnsi" w:hAnsiTheme="majorHAnsi" w:cstheme="majorHAnsi"/>
        </w:rPr>
      </w:pPr>
    </w:p>
    <w:p w14:paraId="684C00E7" w14:textId="77777777" w:rsidR="377B554C" w:rsidRPr="00985B97" w:rsidRDefault="377B554C" w:rsidP="00985B97">
      <w:pPr>
        <w:pStyle w:val="Prrafodelista"/>
        <w:ind w:left="0"/>
        <w:jc w:val="both"/>
        <w:rPr>
          <w:rFonts w:asciiTheme="majorHAnsi" w:hAnsiTheme="majorHAnsi" w:cstheme="majorHAnsi"/>
        </w:rPr>
      </w:pPr>
      <w:r w:rsidRPr="00985B97">
        <w:rPr>
          <w:rFonts w:asciiTheme="majorHAnsi" w:hAnsiTheme="majorHAnsi" w:cstheme="majorHAnsi"/>
        </w:rPr>
        <w:t xml:space="preserve">En segundo lugar, </w:t>
      </w:r>
      <w:r w:rsidR="186B1812" w:rsidRPr="00985B97">
        <w:rPr>
          <w:rFonts w:asciiTheme="majorHAnsi" w:hAnsiTheme="majorHAnsi" w:cstheme="majorHAnsi"/>
        </w:rPr>
        <w:t xml:space="preserve">el </w:t>
      </w:r>
      <w:r w:rsidRPr="00985B97">
        <w:rPr>
          <w:rFonts w:asciiTheme="majorHAnsi" w:hAnsiTheme="majorHAnsi" w:cstheme="majorHAnsi"/>
          <w:b/>
          <w:bCs/>
        </w:rPr>
        <w:t>Decreto 0381 de 2012</w:t>
      </w:r>
      <w:r w:rsidR="741EC532" w:rsidRPr="00985B97">
        <w:rPr>
          <w:rFonts w:asciiTheme="majorHAnsi" w:hAnsiTheme="majorHAnsi" w:cstheme="majorHAnsi"/>
          <w:b/>
          <w:bCs/>
        </w:rPr>
        <w:t xml:space="preserve">, </w:t>
      </w:r>
      <w:r w:rsidR="741EC532" w:rsidRPr="00985B97">
        <w:rPr>
          <w:rFonts w:asciiTheme="majorHAnsi" w:hAnsiTheme="majorHAnsi" w:cstheme="majorHAnsi"/>
        </w:rPr>
        <w:t>“por el cual se modifica la estructura del Ministerio de Minas y Energía”</w:t>
      </w:r>
      <w:r w:rsidR="6577BA79" w:rsidRPr="00985B97">
        <w:rPr>
          <w:rFonts w:asciiTheme="majorHAnsi" w:hAnsiTheme="majorHAnsi" w:cstheme="majorHAnsi"/>
        </w:rPr>
        <w:t xml:space="preserve"> y el </w:t>
      </w:r>
      <w:r w:rsidR="6577BA79" w:rsidRPr="00985B97">
        <w:rPr>
          <w:rFonts w:asciiTheme="majorHAnsi" w:hAnsiTheme="majorHAnsi" w:cstheme="majorHAnsi"/>
          <w:b/>
          <w:bCs/>
        </w:rPr>
        <w:t>Decreto modificatorio 1617 de 2013</w:t>
      </w:r>
      <w:r w:rsidR="6577BA79" w:rsidRPr="00985B97">
        <w:rPr>
          <w:rFonts w:asciiTheme="majorHAnsi" w:hAnsiTheme="majorHAnsi" w:cstheme="majorHAnsi"/>
        </w:rPr>
        <w:t xml:space="preserve">, </w:t>
      </w:r>
      <w:r w:rsidR="3D5EC0FA" w:rsidRPr="00985B97">
        <w:rPr>
          <w:rFonts w:asciiTheme="majorHAnsi" w:hAnsiTheme="majorHAnsi" w:cstheme="majorHAnsi"/>
        </w:rPr>
        <w:t xml:space="preserve">fijan </w:t>
      </w:r>
      <w:r w:rsidRPr="00985B97">
        <w:rPr>
          <w:rFonts w:asciiTheme="majorHAnsi" w:hAnsiTheme="majorHAnsi" w:cstheme="majorHAnsi"/>
        </w:rPr>
        <w:t xml:space="preserve">ordenamiento jurídico sectorial en temas minero-energéticos define las competencias del Ministerio de Minas y Energía como cabeza del sector, encargado de la formulación de políticas públicas, la expedición de normatividad técnica y la coordinación con otras entidades del Estado. </w:t>
      </w:r>
    </w:p>
    <w:p w14:paraId="46CB914F" w14:textId="77777777" w:rsidR="00E63C4F" w:rsidRPr="00985B97" w:rsidRDefault="00E63C4F" w:rsidP="00985B97">
      <w:pPr>
        <w:pStyle w:val="Prrafodelista"/>
        <w:ind w:left="0"/>
        <w:jc w:val="both"/>
        <w:rPr>
          <w:rFonts w:asciiTheme="majorHAnsi" w:hAnsiTheme="majorHAnsi" w:cstheme="majorHAnsi"/>
        </w:rPr>
      </w:pPr>
    </w:p>
    <w:p w14:paraId="0A92530D" w14:textId="77777777" w:rsidR="377B554C" w:rsidRPr="00985B97" w:rsidRDefault="377B554C" w:rsidP="00985B97">
      <w:pPr>
        <w:pStyle w:val="Prrafodelista"/>
        <w:ind w:left="0"/>
        <w:jc w:val="both"/>
        <w:rPr>
          <w:rFonts w:asciiTheme="majorHAnsi" w:hAnsiTheme="majorHAnsi" w:cstheme="majorHAnsi"/>
        </w:rPr>
      </w:pPr>
      <w:r w:rsidRPr="00985B97">
        <w:rPr>
          <w:rFonts w:asciiTheme="majorHAnsi" w:hAnsiTheme="majorHAnsi" w:cstheme="majorHAnsi"/>
        </w:rPr>
        <w:t xml:space="preserve">Adicionalmente, el </w:t>
      </w:r>
      <w:r w:rsidRPr="00985B97">
        <w:rPr>
          <w:rFonts w:asciiTheme="majorHAnsi" w:hAnsiTheme="majorHAnsi" w:cstheme="majorHAnsi"/>
          <w:b/>
          <w:bCs/>
        </w:rPr>
        <w:t>CONPES 4075 de 2022</w:t>
      </w:r>
      <w:r w:rsidRPr="00985B97">
        <w:rPr>
          <w:rFonts w:asciiTheme="majorHAnsi" w:hAnsiTheme="majorHAnsi" w:cstheme="majorHAnsi"/>
        </w:rPr>
        <w:t xml:space="preserve">, que establece la política de transición energética, y la </w:t>
      </w:r>
      <w:r w:rsidRPr="00985B97">
        <w:rPr>
          <w:rFonts w:asciiTheme="majorHAnsi" w:hAnsiTheme="majorHAnsi" w:cstheme="majorHAnsi"/>
          <w:b/>
          <w:bCs/>
        </w:rPr>
        <w:t>ley 2294 de 2023</w:t>
      </w:r>
      <w:r w:rsidRPr="00985B97">
        <w:rPr>
          <w:rFonts w:asciiTheme="majorHAnsi" w:hAnsiTheme="majorHAnsi" w:cstheme="majorHAnsi"/>
        </w:rPr>
        <w:t xml:space="preserve">, que expide el Plan Nacional de Desarrollo 2022–2026 “Colombia potencia mundial de la vida”, establecen lineamientos para la transición energética justa, incluyendo metas de sustitución de combustibles fósiles, diversificación productiva y fortalecimiento de la seguridad energética.  </w:t>
      </w:r>
    </w:p>
    <w:p w14:paraId="2A88DAE9" w14:textId="77777777" w:rsidR="110633E4" w:rsidRPr="00985B97" w:rsidRDefault="110633E4" w:rsidP="00985B97">
      <w:pPr>
        <w:pStyle w:val="Prrafodelista"/>
        <w:ind w:left="0"/>
        <w:jc w:val="both"/>
        <w:rPr>
          <w:rFonts w:asciiTheme="majorHAnsi" w:hAnsiTheme="majorHAnsi" w:cstheme="majorHAnsi"/>
        </w:rPr>
      </w:pPr>
    </w:p>
    <w:p w14:paraId="5F42F788" w14:textId="77777777" w:rsidR="377B554C" w:rsidRPr="00985B97" w:rsidRDefault="377B554C" w:rsidP="00985B97">
      <w:pPr>
        <w:pStyle w:val="Prrafodelista"/>
        <w:ind w:left="0"/>
        <w:jc w:val="both"/>
        <w:rPr>
          <w:rFonts w:asciiTheme="majorHAnsi" w:hAnsiTheme="majorHAnsi" w:cstheme="majorHAnsi"/>
        </w:rPr>
      </w:pPr>
      <w:r w:rsidRPr="00985B97">
        <w:rPr>
          <w:rFonts w:asciiTheme="majorHAnsi" w:hAnsiTheme="majorHAnsi" w:cstheme="majorHAnsi"/>
        </w:rPr>
        <w:t xml:space="preserve">El PND 2022-2026 establece como uno de sus catalizadores la “transición energética justa, segura, confiable y eficiente”, que a su vez hace parte de la estrategia para el desarrollo económico a partir de eficiencia energética, nuevos energéticos y minerales estratégicos para la transición. Con esta estrategia </w:t>
      </w:r>
      <w:r w:rsidRPr="00985B97">
        <w:rPr>
          <w:rFonts w:asciiTheme="majorHAnsi" w:hAnsiTheme="majorHAnsi" w:cstheme="majorHAnsi"/>
        </w:rPr>
        <w:lastRenderedPageBreak/>
        <w:t xml:space="preserve">se busca impulsar nuevas tecnologías para fuentes de energía renovables y no renovables que permitan satisfacer la demanda energética a nivel nacional, teniendo en cuenta las particularidades de los territorios (DNP, s. f.). </w:t>
      </w:r>
    </w:p>
    <w:p w14:paraId="271F02E9" w14:textId="77777777" w:rsidR="110633E4" w:rsidRPr="00985B97" w:rsidRDefault="110633E4" w:rsidP="00985B97">
      <w:pPr>
        <w:pStyle w:val="Prrafodelista"/>
        <w:ind w:left="0"/>
        <w:jc w:val="both"/>
        <w:rPr>
          <w:rFonts w:asciiTheme="majorHAnsi" w:hAnsiTheme="majorHAnsi" w:cstheme="majorHAnsi"/>
        </w:rPr>
      </w:pPr>
    </w:p>
    <w:p w14:paraId="6BBF6AB3" w14:textId="77777777" w:rsidR="377B554C" w:rsidRPr="00985B97" w:rsidRDefault="377B554C" w:rsidP="00985B97">
      <w:pPr>
        <w:pStyle w:val="Prrafodelista"/>
        <w:ind w:left="0"/>
        <w:jc w:val="both"/>
        <w:rPr>
          <w:rFonts w:asciiTheme="majorHAnsi" w:hAnsiTheme="majorHAnsi" w:cstheme="majorHAnsi"/>
        </w:rPr>
      </w:pPr>
      <w:r w:rsidRPr="00985B97">
        <w:rPr>
          <w:rFonts w:asciiTheme="majorHAnsi" w:hAnsiTheme="majorHAnsi" w:cstheme="majorHAnsi"/>
        </w:rPr>
        <w:t>En tercer lugar, las relaciones intergubernamentales (RIG), entendidas como “las actividades cruzadas, recíprocas o jerárquicas, entre las diferentes instancias y niveles del Estado en su función de gobierno” (Barbosa, 2026, p. 186), constituyen un marco normativo implícito que regula las actividades cruzadas y jerárquicas entre diferentes niveles del Estado.</w:t>
      </w:r>
    </w:p>
    <w:p w14:paraId="296D4EDD" w14:textId="77777777" w:rsidR="110633E4" w:rsidRPr="00985B97" w:rsidRDefault="110633E4" w:rsidP="00985B97">
      <w:pPr>
        <w:pStyle w:val="Prrafodelista"/>
        <w:ind w:left="0"/>
        <w:jc w:val="both"/>
        <w:rPr>
          <w:rFonts w:asciiTheme="majorHAnsi" w:hAnsiTheme="majorHAnsi" w:cstheme="majorHAnsi"/>
        </w:rPr>
      </w:pPr>
    </w:p>
    <w:p w14:paraId="6177353F" w14:textId="77777777" w:rsidR="004724DF" w:rsidRPr="00985B97" w:rsidRDefault="377B554C" w:rsidP="00985B97">
      <w:pPr>
        <w:pStyle w:val="Prrafodelista"/>
        <w:ind w:left="0"/>
        <w:jc w:val="both"/>
        <w:rPr>
          <w:rFonts w:asciiTheme="majorHAnsi" w:hAnsiTheme="majorHAnsi" w:cstheme="majorHAnsi"/>
        </w:rPr>
      </w:pPr>
      <w:r w:rsidRPr="00985B97">
        <w:rPr>
          <w:rFonts w:asciiTheme="majorHAnsi" w:hAnsiTheme="majorHAnsi" w:cstheme="majorHAnsi"/>
        </w:rPr>
        <w:t xml:space="preserve">La </w:t>
      </w:r>
      <w:r w:rsidRPr="00985B97">
        <w:rPr>
          <w:rFonts w:asciiTheme="majorHAnsi" w:hAnsiTheme="majorHAnsi" w:cstheme="majorHAnsi"/>
          <w:b/>
          <w:bCs/>
        </w:rPr>
        <w:t>Ley 5 de 1992</w:t>
      </w:r>
      <w:r w:rsidRPr="00985B97">
        <w:rPr>
          <w:rFonts w:asciiTheme="majorHAnsi" w:hAnsiTheme="majorHAnsi" w:cstheme="majorHAnsi"/>
        </w:rPr>
        <w:t>, "por la cual se expide el Reglamento del Congreso; el Senado y la Cámara de Representantes", es clave para esta investigación en tanto regula la organización interna del legislativo, los procedimientos de control político y legislativo, el trámite de las iniciativas legislativas, así como los mecanismos de interacción con el ejecutivo. Esta ley proporciona las reglas de juego para el relacionamiento institucional, definiendo cómo se estructuran las comisiones, las citaciones y los debates de control, lo que incide directamente en la capacidad del Ministerio de Minas y Energía para posicionar su agenda en el Congreso.</w:t>
      </w:r>
    </w:p>
    <w:p w14:paraId="35429E3C" w14:textId="77777777" w:rsidR="003472B9" w:rsidRPr="00985B97" w:rsidRDefault="004724DF" w:rsidP="00A86834">
      <w:pPr>
        <w:pStyle w:val="Ttulo1"/>
      </w:pPr>
      <w:bookmarkStart w:id="133" w:name="_Toc235092553"/>
      <w:bookmarkStart w:id="134" w:name="_Toc235107997"/>
      <w:r w:rsidRPr="00985B97">
        <w:t>Justificación</w:t>
      </w:r>
      <w:bookmarkEnd w:id="133"/>
      <w:bookmarkEnd w:id="134"/>
    </w:p>
    <w:p w14:paraId="57BD304C" w14:textId="77777777" w:rsidR="003472B9" w:rsidRPr="00985B97" w:rsidRDefault="003472B9" w:rsidP="00985B97">
      <w:pPr>
        <w:jc w:val="both"/>
        <w:rPr>
          <w:rFonts w:asciiTheme="majorHAnsi" w:hAnsiTheme="majorHAnsi" w:cstheme="majorHAnsi"/>
        </w:rPr>
      </w:pPr>
      <w:bookmarkStart w:id="135" w:name="_Hlk234698203"/>
      <w:r w:rsidRPr="00985B97">
        <w:rPr>
          <w:rFonts w:asciiTheme="majorHAnsi" w:hAnsiTheme="majorHAnsi" w:cstheme="majorHAnsi"/>
        </w:rPr>
        <w:t>Colombia enfrenta el reto de acelerar su transición energética justa (TEJ) en un contexto institucional marcado por la fragmentación partidista, la alta rotación en la conducción del sector minero-energético y una creciente conflictividad entre el ejecutivo y el Congreso de la República. Entre 2022 y 2025 el gobierno de Gustavo Petro registró la tasa de éxito legislativo más baja de los últimos quince años, mientras que el Ministerio de Minas y Energía ha sido conducido por 3 ministros distintos en tres años de gobierno. Esta inestabilidad coincide con la aprobación del CONPES 4075 de Política de Transición Energética, que distribuye 97 acciones entre 18 entidades del Estado, un diseño de política que exige una coordinación sostenida entre el Ejecutivo sectorial y el Legislativo para materializarse, pero que se ve comprometido cuando los canales institucionales de relacionamiento entre ambas ramas del poder son débiles o dependen de vínculos personalistas.</w:t>
      </w:r>
    </w:p>
    <w:p w14:paraId="0FF2BEE9" w14:textId="77777777" w:rsidR="003472B9" w:rsidRPr="00985B97" w:rsidRDefault="003472B9" w:rsidP="00985B97">
      <w:pPr>
        <w:jc w:val="both"/>
        <w:rPr>
          <w:rFonts w:asciiTheme="majorHAnsi" w:hAnsiTheme="majorHAnsi" w:cstheme="majorHAnsi"/>
        </w:rPr>
      </w:pPr>
      <w:r w:rsidRPr="00985B97">
        <w:rPr>
          <w:rFonts w:asciiTheme="majorHAnsi" w:hAnsiTheme="majorHAnsi" w:cstheme="majorHAnsi"/>
        </w:rPr>
        <w:lastRenderedPageBreak/>
        <w:t>Frente a este panorama, es importante preguntarse por qué, a pesar de contar con un marco normativo relativamente robusto en materia de transición energética, su implementación legislativa avanza con lentitud y de manera fragmentada. La literatura sobre relaciones ejecutivo-legislativo en América Latina ofrece herramientas conceptuales para abordar esta pregunta: la teoría de los costos de transacción políticos (</w:t>
      </w:r>
      <w:proofErr w:type="spellStart"/>
      <w:r w:rsidRPr="00985B97">
        <w:rPr>
          <w:rFonts w:asciiTheme="majorHAnsi" w:hAnsiTheme="majorHAnsi" w:cstheme="majorHAnsi"/>
        </w:rPr>
        <w:t>Spiller</w:t>
      </w:r>
      <w:proofErr w:type="spellEnd"/>
      <w:r w:rsidRPr="00985B97">
        <w:rPr>
          <w:rFonts w:asciiTheme="majorHAnsi" w:hAnsiTheme="majorHAnsi" w:cstheme="majorHAnsi"/>
        </w:rPr>
        <w:t xml:space="preserve"> y Tommasi, 2003, 2007), que sugiere que la ausencia de arenas institucionalizadas de negociación eleva sistemáticamente los costos de cualquier reforma sectorial, mientras que la teoría de los veto </w:t>
      </w:r>
      <w:proofErr w:type="spellStart"/>
      <w:r w:rsidRPr="00985B97">
        <w:rPr>
          <w:rFonts w:asciiTheme="majorHAnsi" w:hAnsiTheme="majorHAnsi" w:cstheme="majorHAnsi"/>
        </w:rPr>
        <w:t>players</w:t>
      </w:r>
      <w:proofErr w:type="spellEnd"/>
      <w:r w:rsidRPr="00985B97">
        <w:rPr>
          <w:rFonts w:asciiTheme="majorHAnsi" w:hAnsiTheme="majorHAnsi" w:cstheme="majorHAnsi"/>
        </w:rPr>
        <w:t xml:space="preserve"> (</w:t>
      </w:r>
      <w:proofErr w:type="spellStart"/>
      <w:r w:rsidRPr="00985B97">
        <w:rPr>
          <w:rFonts w:asciiTheme="majorHAnsi" w:hAnsiTheme="majorHAnsi" w:cstheme="majorHAnsi"/>
        </w:rPr>
        <w:t>Tsebelis</w:t>
      </w:r>
      <w:proofErr w:type="spellEnd"/>
      <w:r w:rsidRPr="00985B97">
        <w:rPr>
          <w:rFonts w:asciiTheme="majorHAnsi" w:hAnsiTheme="majorHAnsi" w:cstheme="majorHAnsi"/>
        </w:rPr>
        <w:t>, 2002) advierte que, en sistemas presidenciales multipartidistas como el colombiano, el número y la incongruencia de los actores con capacidad de bloqueo condicionan directamente el ritmo de aprobación de las políticas. No obstante, los estudios existentes sobre el presidencialismo de coalición colombiano se han concentrado en el comportamiento agregado del Congreso frente al Ejecutivo nacional (Carroll &amp; Pachón, 2016), sin profundizar en la forma en que un ministerio sectorial específico diseña y ejecuta su propio análisis estratégico legislativo como herramienta de gestión de esa relación.</w:t>
      </w:r>
    </w:p>
    <w:p w14:paraId="6E92A850" w14:textId="77777777" w:rsidR="003472B9" w:rsidRPr="00985B97" w:rsidRDefault="003472B9" w:rsidP="00985B97">
      <w:pPr>
        <w:jc w:val="both"/>
        <w:rPr>
          <w:rFonts w:asciiTheme="majorHAnsi" w:hAnsiTheme="majorHAnsi" w:cstheme="majorHAnsi"/>
        </w:rPr>
      </w:pPr>
      <w:r w:rsidRPr="00985B97">
        <w:rPr>
          <w:rFonts w:asciiTheme="majorHAnsi" w:hAnsiTheme="majorHAnsi" w:cstheme="majorHAnsi"/>
        </w:rPr>
        <w:t>Si bien no existe evidencia sistemática sobre el funcionamiento del análisis estratégico legislativo (ASL) como instrumento institucional propio de un ministerio sectorial colombiano, ni sobre su incidencia diferenciada en la velocidad de tramitación de las iniciativas de transición energética justa, abordar la forma en que un poder ejecutivo sectorial organiza su relacionamiento con el Congreso puede acelerar o retrasar significativamente la aprobación de este tipo de políticas, lo que hace que esta investigación sea de gran relevancia.</w:t>
      </w:r>
    </w:p>
    <w:p w14:paraId="0B5003B2" w14:textId="77777777" w:rsidR="004724DF" w:rsidRPr="00985B97" w:rsidRDefault="003472B9" w:rsidP="00985B97">
      <w:pPr>
        <w:pStyle w:val="Prrafodelista"/>
        <w:ind w:left="0"/>
        <w:jc w:val="both"/>
        <w:rPr>
          <w:rFonts w:asciiTheme="majorHAnsi" w:hAnsiTheme="majorHAnsi" w:cstheme="majorHAnsi"/>
        </w:rPr>
      </w:pPr>
      <w:r w:rsidRPr="00985B97">
        <w:rPr>
          <w:rFonts w:asciiTheme="majorHAnsi" w:hAnsiTheme="majorHAnsi" w:cstheme="majorHAnsi"/>
        </w:rPr>
        <w:t>De esta forma</w:t>
      </w:r>
      <w:r w:rsidR="004724DF" w:rsidRPr="00985B97">
        <w:rPr>
          <w:rFonts w:asciiTheme="majorHAnsi" w:hAnsiTheme="majorHAnsi" w:cstheme="majorHAnsi"/>
        </w:rPr>
        <w:t>, ante el desafío de consolidar una estrategia analítica legislativa del Ministerio para promover el diálogo y el mejoramiento en las relaciones con el legislativo, de cara a la necesidad  en una estrategia de incidencia proactiva en la agenda legislativa, especialmente, en lo que respecta a los temas que abarcan la transición energética justa, se requiere analizar con mayor detalle el ejercicio del Ministerio, con el fin de proponer mejoras y parámetros que permitan fortalecer la comunicación y la interacción, incluso, más allá del periodo de gobierno.</w:t>
      </w:r>
    </w:p>
    <w:p w14:paraId="17AA763E" w14:textId="77777777" w:rsidR="110633E4" w:rsidRPr="00985B97" w:rsidRDefault="6804AB73" w:rsidP="00A86834">
      <w:pPr>
        <w:pStyle w:val="Ttulo1"/>
      </w:pPr>
      <w:bookmarkStart w:id="136" w:name="_Toc235092554"/>
      <w:bookmarkStart w:id="137" w:name="_Toc235107998"/>
      <w:bookmarkEnd w:id="135"/>
      <w:r w:rsidRPr="00985B97">
        <w:lastRenderedPageBreak/>
        <w:t>Problemática</w:t>
      </w:r>
      <w:bookmarkEnd w:id="136"/>
      <w:bookmarkEnd w:id="137"/>
    </w:p>
    <w:p w14:paraId="0186F34E" w14:textId="77777777" w:rsidR="46929195" w:rsidRPr="00985B97" w:rsidRDefault="46929195" w:rsidP="00985B97">
      <w:pPr>
        <w:pStyle w:val="Prrafodelista"/>
        <w:ind w:left="0"/>
        <w:jc w:val="both"/>
        <w:rPr>
          <w:rFonts w:asciiTheme="majorHAnsi" w:hAnsiTheme="majorHAnsi" w:cstheme="majorHAnsi"/>
        </w:rPr>
      </w:pPr>
      <w:r w:rsidRPr="00985B97">
        <w:rPr>
          <w:rFonts w:asciiTheme="majorHAnsi" w:hAnsiTheme="majorHAnsi" w:cstheme="majorHAnsi"/>
        </w:rPr>
        <w:t xml:space="preserve">La transición energética justa en Colombia se ha consolidado como un eje central de política pública, impulsado por normas como la Ley 2099 de 2021 y los CONPES 4075 de 2022, 4129 de 2023 sobre transición energética y reindustrialización, que articulan la política energética nacional y buscan reducir emisiones de gases de efecto invernadero mientras se fortalece la seguridad y competitividad del sector minero energético. Sin embargo, la implementación de estas directrices enfrenta limitaciones en la articulación entre el </w:t>
      </w:r>
      <w:r w:rsidR="001D4B0A" w:rsidRPr="00985B97">
        <w:rPr>
          <w:rFonts w:asciiTheme="majorHAnsi" w:hAnsiTheme="majorHAnsi" w:cstheme="majorHAnsi"/>
        </w:rPr>
        <w:t>ejecutivo</w:t>
      </w:r>
      <w:r w:rsidRPr="00985B97">
        <w:rPr>
          <w:rFonts w:asciiTheme="majorHAnsi" w:hAnsiTheme="majorHAnsi" w:cstheme="majorHAnsi"/>
        </w:rPr>
        <w:t>, representado por el Ministerio de Minas y Energía, y el Congreso de la República, cuya aprobación y coordinación legislativas son fundamentales para operacionalizar la transición justa.</w:t>
      </w:r>
    </w:p>
    <w:p w14:paraId="3130B574" w14:textId="77777777" w:rsidR="110633E4" w:rsidRPr="00985B97" w:rsidRDefault="110633E4" w:rsidP="00985B97">
      <w:pPr>
        <w:pStyle w:val="Prrafodelista"/>
        <w:ind w:left="0"/>
        <w:jc w:val="both"/>
        <w:rPr>
          <w:rFonts w:asciiTheme="majorHAnsi" w:hAnsiTheme="majorHAnsi" w:cstheme="majorHAnsi"/>
        </w:rPr>
      </w:pPr>
    </w:p>
    <w:p w14:paraId="34ADECDF" w14:textId="77777777" w:rsidR="46929195" w:rsidRPr="00985B97" w:rsidRDefault="46929195" w:rsidP="00985B97">
      <w:pPr>
        <w:pStyle w:val="Prrafodelista"/>
        <w:ind w:left="0"/>
        <w:jc w:val="both"/>
        <w:rPr>
          <w:rFonts w:asciiTheme="majorHAnsi" w:hAnsiTheme="majorHAnsi" w:cstheme="majorHAnsi"/>
        </w:rPr>
      </w:pPr>
      <w:r w:rsidRPr="00985B97">
        <w:rPr>
          <w:rFonts w:asciiTheme="majorHAnsi" w:hAnsiTheme="majorHAnsi" w:cstheme="majorHAnsi"/>
        </w:rPr>
        <w:t>A pesar de avances en marcos normativos y hojas de ruta, persisten vacíos en el análisis estratégico legislativo que dificultan una relación institucional fluida: la falta de mecanismos sistemáticos de coordinación entre el Congreso y el Ministerio, donde la interacción suele responder más a dinámicas políticas coyunturales que a un diseño estratégico, afectando la previsibilidad y legitimidad de la transición.</w:t>
      </w:r>
    </w:p>
    <w:p w14:paraId="0F65022A" w14:textId="77777777" w:rsidR="110633E4" w:rsidRPr="00985B97" w:rsidRDefault="110633E4" w:rsidP="00985B97">
      <w:pPr>
        <w:pStyle w:val="Prrafodelista"/>
        <w:ind w:left="0"/>
        <w:jc w:val="both"/>
        <w:rPr>
          <w:rFonts w:asciiTheme="majorHAnsi" w:hAnsiTheme="majorHAnsi" w:cstheme="majorHAnsi"/>
        </w:rPr>
      </w:pPr>
    </w:p>
    <w:p w14:paraId="3110CA9B" w14:textId="77777777" w:rsidR="46929195" w:rsidRPr="00985B97" w:rsidRDefault="46929195" w:rsidP="00985B97">
      <w:pPr>
        <w:pStyle w:val="Prrafodelista"/>
        <w:ind w:left="0"/>
        <w:jc w:val="both"/>
        <w:rPr>
          <w:rFonts w:asciiTheme="majorHAnsi" w:hAnsiTheme="majorHAnsi" w:cstheme="majorHAnsi"/>
        </w:rPr>
      </w:pPr>
      <w:r w:rsidRPr="00985B97">
        <w:rPr>
          <w:rFonts w:asciiTheme="majorHAnsi" w:hAnsiTheme="majorHAnsi" w:cstheme="majorHAnsi"/>
        </w:rPr>
        <w:t>En este contexto, si bien la problemática central de este proyecto es la debilidad en el análisis</w:t>
      </w:r>
      <w:r w:rsidR="37252DD7" w:rsidRPr="00985B97">
        <w:rPr>
          <w:rFonts w:asciiTheme="majorHAnsi" w:hAnsiTheme="majorHAnsi" w:cstheme="majorHAnsi"/>
        </w:rPr>
        <w:t xml:space="preserve"> </w:t>
      </w:r>
      <w:r w:rsidRPr="00985B97">
        <w:rPr>
          <w:rFonts w:asciiTheme="majorHAnsi" w:hAnsiTheme="majorHAnsi" w:cstheme="majorHAnsi"/>
        </w:rPr>
        <w:t xml:space="preserve">estratégico sectorial y legislativo para impulsar la transición energética justa, esta investigación se centrará en comprender de qué manera el análisis estratégico legislativo, como herramienta de planeación, ha afectado la dinámica de relacionamiento entre el Ministerio de Minas </w:t>
      </w:r>
      <w:r w:rsidR="5E3AB532" w:rsidRPr="00985B97">
        <w:rPr>
          <w:rFonts w:asciiTheme="majorHAnsi" w:hAnsiTheme="majorHAnsi" w:cstheme="majorHAnsi"/>
        </w:rPr>
        <w:t>y Energía</w:t>
      </w:r>
      <w:r w:rsidRPr="00985B97">
        <w:rPr>
          <w:rFonts w:asciiTheme="majorHAnsi" w:hAnsiTheme="majorHAnsi" w:cstheme="majorHAnsi"/>
        </w:rPr>
        <w:t xml:space="preserve"> y el Congreso de la República, y qué mecanismos podrían fortalecer esta relación para</w:t>
      </w:r>
      <w:r w:rsidR="33BBB8B2" w:rsidRPr="00985B97">
        <w:rPr>
          <w:rFonts w:asciiTheme="majorHAnsi" w:hAnsiTheme="majorHAnsi" w:cstheme="majorHAnsi"/>
        </w:rPr>
        <w:t xml:space="preserve"> </w:t>
      </w:r>
      <w:r w:rsidRPr="00985B97">
        <w:rPr>
          <w:rFonts w:asciiTheme="majorHAnsi" w:hAnsiTheme="majorHAnsi" w:cstheme="majorHAnsi"/>
        </w:rPr>
        <w:t>acelerar el desarrollo de una política de transición energética justa.</w:t>
      </w:r>
    </w:p>
    <w:p w14:paraId="6C39671F" w14:textId="77777777" w:rsidR="110633E4" w:rsidRPr="00985B97" w:rsidRDefault="110633E4" w:rsidP="00985B97">
      <w:pPr>
        <w:pStyle w:val="Prrafodelista"/>
        <w:ind w:left="0"/>
        <w:jc w:val="both"/>
        <w:rPr>
          <w:rFonts w:asciiTheme="majorHAnsi" w:hAnsiTheme="majorHAnsi" w:cstheme="majorHAnsi"/>
        </w:rPr>
      </w:pPr>
    </w:p>
    <w:p w14:paraId="71360B67" w14:textId="77777777" w:rsidR="110633E4" w:rsidRPr="00985B97" w:rsidRDefault="0AD2735B" w:rsidP="00985B97">
      <w:pPr>
        <w:pStyle w:val="Prrafodelista"/>
        <w:ind w:left="0"/>
        <w:jc w:val="both"/>
        <w:rPr>
          <w:rFonts w:asciiTheme="majorHAnsi" w:hAnsiTheme="majorHAnsi" w:cstheme="majorHAnsi"/>
        </w:rPr>
      </w:pPr>
      <w:r w:rsidRPr="00985B97">
        <w:rPr>
          <w:rFonts w:asciiTheme="majorHAnsi" w:hAnsiTheme="majorHAnsi" w:cstheme="majorHAnsi"/>
        </w:rPr>
        <w:t>De esta forma, la pregunta problema sobre la cual se orientará esta investigación es ¿de qué manera el análisis estratégico legislativo condiciona la dinámica de relacionamiento entre el Ministerio de Minas y Energía y el Congreso de la República, y qué estrategia institucional podría fortalecer dicha relación para acelerar el desarrollo de la política de transición energética justa?</w:t>
      </w:r>
    </w:p>
    <w:p w14:paraId="41606FAB" w14:textId="77777777" w:rsidR="00D077D9" w:rsidRPr="00985B97" w:rsidRDefault="6804AB73" w:rsidP="00A86834">
      <w:pPr>
        <w:pStyle w:val="Ttulo1"/>
      </w:pPr>
      <w:bookmarkStart w:id="138" w:name="_Toc235092555"/>
      <w:bookmarkStart w:id="139" w:name="_Toc235107999"/>
      <w:r w:rsidRPr="00985B97">
        <w:lastRenderedPageBreak/>
        <w:t>Hipótesis</w:t>
      </w:r>
      <w:bookmarkEnd w:id="138"/>
      <w:bookmarkEnd w:id="139"/>
    </w:p>
    <w:p w14:paraId="2BA8D9B3" w14:textId="77777777" w:rsidR="00D077D9" w:rsidRPr="00985B97" w:rsidRDefault="2321EE32" w:rsidP="00985B97">
      <w:pPr>
        <w:pStyle w:val="Prrafodelista"/>
        <w:ind w:left="0"/>
        <w:jc w:val="both"/>
        <w:rPr>
          <w:rFonts w:asciiTheme="majorHAnsi" w:hAnsiTheme="majorHAnsi" w:cstheme="majorHAnsi"/>
        </w:rPr>
      </w:pPr>
      <w:r w:rsidRPr="00985B97">
        <w:rPr>
          <w:rFonts w:asciiTheme="majorHAnsi" w:hAnsiTheme="majorHAnsi" w:cstheme="majorHAnsi"/>
        </w:rPr>
        <w:t>La debilidad estructural del análisis estratégico legislativo ha generado una relación fragmentada y personalista entre el Ministerio de Minas y Energía y el Congreso de la República, lo que impide la consolidación de una estrategia institucional coherente para el impulso de las políticas de transición energética justa.</w:t>
      </w:r>
    </w:p>
    <w:p w14:paraId="07B4750F" w14:textId="77777777" w:rsidR="00D077D9" w:rsidRPr="00985B97" w:rsidRDefault="6804AB73" w:rsidP="00A86834">
      <w:pPr>
        <w:pStyle w:val="Ttulo1"/>
      </w:pPr>
      <w:bookmarkStart w:id="140" w:name="_Toc235092556"/>
      <w:bookmarkStart w:id="141" w:name="_Toc235108000"/>
      <w:r w:rsidRPr="00985B97">
        <w:t>Objetivos</w:t>
      </w:r>
      <w:bookmarkEnd w:id="140"/>
      <w:bookmarkEnd w:id="141"/>
    </w:p>
    <w:p w14:paraId="30FB6970" w14:textId="77777777" w:rsidR="00D077D9" w:rsidRPr="00985B97" w:rsidRDefault="1243538F" w:rsidP="00985B97">
      <w:pPr>
        <w:pStyle w:val="Ttulo3"/>
        <w:rPr>
          <w:rFonts w:asciiTheme="majorHAnsi" w:hAnsiTheme="majorHAnsi" w:cstheme="majorHAnsi"/>
          <w:sz w:val="22"/>
          <w:szCs w:val="22"/>
        </w:rPr>
      </w:pPr>
      <w:bookmarkStart w:id="142" w:name="_Toc235092557"/>
      <w:bookmarkStart w:id="143" w:name="_Toc235108001"/>
      <w:r w:rsidRPr="00985B97">
        <w:rPr>
          <w:rFonts w:asciiTheme="majorHAnsi" w:hAnsiTheme="majorHAnsi" w:cstheme="majorHAnsi"/>
          <w:sz w:val="22"/>
          <w:szCs w:val="22"/>
        </w:rPr>
        <w:t>General</w:t>
      </w:r>
      <w:bookmarkStart w:id="144" w:name="_Hlk234698453"/>
      <w:bookmarkEnd w:id="142"/>
      <w:bookmarkEnd w:id="143"/>
    </w:p>
    <w:p w14:paraId="3808AEE0" w14:textId="77777777" w:rsidR="00D077D9" w:rsidRPr="00985B97" w:rsidRDefault="1243538F" w:rsidP="00985B97">
      <w:pPr>
        <w:pStyle w:val="Prrafodelista"/>
        <w:ind w:left="0"/>
        <w:jc w:val="both"/>
        <w:rPr>
          <w:rFonts w:asciiTheme="majorHAnsi" w:hAnsiTheme="majorHAnsi" w:cstheme="majorHAnsi"/>
        </w:rPr>
      </w:pPr>
      <w:r w:rsidRPr="00985B97">
        <w:rPr>
          <w:rFonts w:asciiTheme="majorHAnsi" w:hAnsiTheme="majorHAnsi" w:cstheme="majorHAnsi"/>
        </w:rPr>
        <w:t>Evaluar cómo el análisis estratégico legislativo condiciona la relación entre el Ministerio de Minas y Energía y el Congreso de la República, con el fin de identificar una estrategia institucional que fortalezca dicha relación y contribuya a acelerar la formulación de la política de transición energética justa.</w:t>
      </w:r>
    </w:p>
    <w:p w14:paraId="4029A243" w14:textId="77777777" w:rsidR="00D077D9" w:rsidRPr="00985B97" w:rsidRDefault="1243538F" w:rsidP="00985B97">
      <w:pPr>
        <w:pStyle w:val="Ttulo3"/>
        <w:rPr>
          <w:rFonts w:asciiTheme="majorHAnsi" w:hAnsiTheme="majorHAnsi" w:cstheme="majorHAnsi"/>
          <w:sz w:val="22"/>
          <w:szCs w:val="22"/>
        </w:rPr>
      </w:pPr>
      <w:bookmarkStart w:id="145" w:name="_Toc235092558"/>
      <w:bookmarkStart w:id="146" w:name="_Toc235108002"/>
      <w:r w:rsidRPr="00985B97">
        <w:rPr>
          <w:rFonts w:asciiTheme="majorHAnsi" w:hAnsiTheme="majorHAnsi" w:cstheme="majorHAnsi"/>
          <w:sz w:val="22"/>
          <w:szCs w:val="22"/>
        </w:rPr>
        <w:t>Específicos</w:t>
      </w:r>
      <w:bookmarkEnd w:id="145"/>
      <w:bookmarkEnd w:id="146"/>
    </w:p>
    <w:p w14:paraId="1842CAD8" w14:textId="77777777" w:rsidR="008A3904" w:rsidRPr="00985B97" w:rsidRDefault="00504E8E" w:rsidP="00721806">
      <w:pPr>
        <w:pStyle w:val="Prrafodelista"/>
        <w:numPr>
          <w:ilvl w:val="0"/>
          <w:numId w:val="37"/>
        </w:numPr>
        <w:jc w:val="both"/>
        <w:rPr>
          <w:rFonts w:asciiTheme="majorHAnsi" w:hAnsiTheme="majorHAnsi" w:cstheme="majorHAnsi"/>
        </w:rPr>
      </w:pPr>
      <w:r w:rsidRPr="00985B97">
        <w:rPr>
          <w:rFonts w:asciiTheme="majorHAnsi" w:hAnsiTheme="majorHAnsi" w:cstheme="majorHAnsi"/>
        </w:rPr>
        <w:t>Examinar la relación entre el Ministerio de Minas y Energía y el Congreso de la República en el impulso de la política de transición energética justa, teniendo en cuenta su grado de institucionalización y la presencia de vínculos personalistas.</w:t>
      </w:r>
    </w:p>
    <w:p w14:paraId="556C8687" w14:textId="77777777" w:rsidR="0013501D" w:rsidRPr="00985B97" w:rsidRDefault="0013501D" w:rsidP="00721806">
      <w:pPr>
        <w:pStyle w:val="Prrafodelista"/>
        <w:numPr>
          <w:ilvl w:val="0"/>
          <w:numId w:val="37"/>
        </w:numPr>
        <w:jc w:val="both"/>
        <w:rPr>
          <w:rFonts w:asciiTheme="majorHAnsi" w:hAnsiTheme="majorHAnsi" w:cstheme="majorHAnsi"/>
        </w:rPr>
      </w:pPr>
      <w:r w:rsidRPr="00985B97">
        <w:rPr>
          <w:rFonts w:asciiTheme="majorHAnsi" w:hAnsiTheme="majorHAnsi" w:cstheme="majorHAnsi"/>
        </w:rPr>
        <w:t>Recopilar y examinar sistemáticamente las solicitudes de información y las proposiciones de control político formuladas por el Congreso de la República al Ministerio de Minas y Energía durante el último cuatrienio (2022–2026).</w:t>
      </w:r>
    </w:p>
    <w:p w14:paraId="3F71BC83" w14:textId="77777777" w:rsidR="0013501D" w:rsidRPr="00985B97" w:rsidRDefault="0013501D" w:rsidP="00721806">
      <w:pPr>
        <w:pStyle w:val="Prrafodelista"/>
        <w:numPr>
          <w:ilvl w:val="0"/>
          <w:numId w:val="37"/>
        </w:numPr>
        <w:jc w:val="both"/>
        <w:rPr>
          <w:rFonts w:asciiTheme="majorHAnsi" w:hAnsiTheme="majorHAnsi" w:cstheme="majorHAnsi"/>
        </w:rPr>
      </w:pPr>
      <w:r w:rsidRPr="00985B97">
        <w:rPr>
          <w:rFonts w:asciiTheme="majorHAnsi" w:hAnsiTheme="majorHAnsi" w:cstheme="majorHAnsi"/>
        </w:rPr>
        <w:t>Describir y analizar los imaginarios y percepciones que tienen las entidades del sector minero</w:t>
      </w:r>
      <w:r w:rsidRPr="00985B97">
        <w:t>‑</w:t>
      </w:r>
      <w:r w:rsidRPr="00985B97">
        <w:rPr>
          <w:rFonts w:asciiTheme="majorHAnsi" w:hAnsiTheme="majorHAnsi" w:cstheme="majorHAnsi"/>
        </w:rPr>
        <w:t>energético sobre su relación con el Congreso</w:t>
      </w:r>
      <w:r w:rsidR="000F561E" w:rsidRPr="00985B97">
        <w:rPr>
          <w:rFonts w:asciiTheme="majorHAnsi" w:hAnsiTheme="majorHAnsi" w:cstheme="majorHAnsi"/>
        </w:rPr>
        <w:t>.</w:t>
      </w:r>
    </w:p>
    <w:p w14:paraId="0959D4C5" w14:textId="77777777" w:rsidR="008A3904" w:rsidRPr="00985B97" w:rsidRDefault="008A3904" w:rsidP="00721806">
      <w:pPr>
        <w:pStyle w:val="Prrafodelista"/>
        <w:numPr>
          <w:ilvl w:val="0"/>
          <w:numId w:val="37"/>
        </w:numPr>
        <w:jc w:val="both"/>
        <w:rPr>
          <w:rFonts w:asciiTheme="majorHAnsi" w:hAnsiTheme="majorHAnsi" w:cstheme="majorHAnsi"/>
        </w:rPr>
      </w:pPr>
      <w:r w:rsidRPr="00985B97">
        <w:rPr>
          <w:rFonts w:asciiTheme="majorHAnsi" w:hAnsiTheme="majorHAnsi" w:cstheme="majorHAnsi"/>
        </w:rPr>
        <w:t>Diseñar una propuesta de estrategia institucional de relacionamiento legislativo para el Ministerio de Minas y Energía</w:t>
      </w:r>
      <w:r w:rsidR="000F561E" w:rsidRPr="00985B97">
        <w:rPr>
          <w:rFonts w:asciiTheme="majorHAnsi" w:hAnsiTheme="majorHAnsi" w:cstheme="majorHAnsi"/>
        </w:rPr>
        <w:t>.</w:t>
      </w:r>
    </w:p>
    <w:p w14:paraId="5644419D" w14:textId="77777777" w:rsidR="00D077D9" w:rsidRPr="00985B97" w:rsidRDefault="4293E694" w:rsidP="00A86834">
      <w:pPr>
        <w:pStyle w:val="Ttulo1"/>
      </w:pPr>
      <w:bookmarkStart w:id="147" w:name="_Toc235092559"/>
      <w:bookmarkStart w:id="148" w:name="_Toc235108003"/>
      <w:bookmarkEnd w:id="144"/>
      <w:r w:rsidRPr="00985B97">
        <w:lastRenderedPageBreak/>
        <w:t>Metodología</w:t>
      </w:r>
      <w:bookmarkEnd w:id="147"/>
      <w:bookmarkEnd w:id="148"/>
    </w:p>
    <w:p w14:paraId="1395F8C8" w14:textId="77777777" w:rsidR="00D077D9" w:rsidRPr="00985B97" w:rsidRDefault="7B484E80" w:rsidP="00985B97">
      <w:pPr>
        <w:pStyle w:val="Prrafodelista"/>
        <w:ind w:left="0"/>
        <w:jc w:val="both"/>
        <w:rPr>
          <w:rFonts w:asciiTheme="majorHAnsi" w:hAnsiTheme="majorHAnsi" w:cstheme="majorHAnsi"/>
        </w:rPr>
      </w:pPr>
      <w:bookmarkStart w:id="149" w:name="_Hlk234918902"/>
      <w:r w:rsidRPr="00985B97">
        <w:rPr>
          <w:rFonts w:asciiTheme="majorHAnsi" w:hAnsiTheme="majorHAnsi" w:cstheme="majorHAnsi"/>
        </w:rPr>
        <w:t>La investigación es un estudio de carácter cualitativo, exploratorio y descriptivo para comprender en profundidad las dinámicas institucionales, las percepciones de los actores y las debilidades del análisis estratégico desde la perspectiva del Ministerio, divid</w:t>
      </w:r>
      <w:r w:rsidR="3D54507F" w:rsidRPr="00985B97">
        <w:rPr>
          <w:rFonts w:asciiTheme="majorHAnsi" w:hAnsiTheme="majorHAnsi" w:cstheme="majorHAnsi"/>
        </w:rPr>
        <w:t>ido</w:t>
      </w:r>
      <w:r w:rsidRPr="00985B97">
        <w:rPr>
          <w:rFonts w:asciiTheme="majorHAnsi" w:hAnsiTheme="majorHAnsi" w:cstheme="majorHAnsi"/>
        </w:rPr>
        <w:t xml:space="preserve"> en tres etapas:</w:t>
      </w:r>
    </w:p>
    <w:p w14:paraId="7B75D4D6" w14:textId="77777777" w:rsidR="00D077D9" w:rsidRPr="00985B97" w:rsidRDefault="00D077D9" w:rsidP="00985B97">
      <w:pPr>
        <w:pStyle w:val="Prrafodelista"/>
        <w:ind w:left="0"/>
        <w:jc w:val="both"/>
        <w:rPr>
          <w:rFonts w:asciiTheme="majorHAnsi" w:hAnsiTheme="majorHAnsi" w:cstheme="majorHAnsi"/>
        </w:rPr>
      </w:pPr>
    </w:p>
    <w:p w14:paraId="7273212E" w14:textId="77777777" w:rsidR="00D077D9" w:rsidRPr="00985B97" w:rsidRDefault="7B484E80" w:rsidP="00985B97">
      <w:pPr>
        <w:pStyle w:val="Prrafodelista"/>
        <w:ind w:left="0"/>
        <w:jc w:val="both"/>
        <w:rPr>
          <w:rFonts w:asciiTheme="majorHAnsi" w:hAnsiTheme="majorHAnsi" w:cstheme="majorHAnsi"/>
        </w:rPr>
      </w:pPr>
      <w:r w:rsidRPr="00985B97">
        <w:rPr>
          <w:rFonts w:asciiTheme="majorHAnsi" w:hAnsiTheme="majorHAnsi" w:cstheme="majorHAnsi"/>
        </w:rPr>
        <w:t>La primera etapa comprende una revisión documental para identificar los patrones de interacción entre Congreso y Ministerio de la siguiente manera:</w:t>
      </w:r>
    </w:p>
    <w:p w14:paraId="45CCE343" w14:textId="77777777" w:rsidR="00D077D9" w:rsidRPr="00985B97" w:rsidRDefault="00D077D9" w:rsidP="00985B97">
      <w:pPr>
        <w:pStyle w:val="Prrafodelista"/>
        <w:ind w:left="0"/>
        <w:jc w:val="both"/>
        <w:rPr>
          <w:rFonts w:asciiTheme="majorHAnsi" w:hAnsiTheme="majorHAnsi" w:cstheme="majorHAnsi"/>
        </w:rPr>
      </w:pPr>
    </w:p>
    <w:p w14:paraId="60375D6D" w14:textId="77777777" w:rsidR="0013501D" w:rsidRPr="00985B97" w:rsidRDefault="0013501D" w:rsidP="00721806">
      <w:pPr>
        <w:pStyle w:val="Prrafodelista"/>
        <w:numPr>
          <w:ilvl w:val="0"/>
          <w:numId w:val="2"/>
        </w:numPr>
        <w:ind w:left="450"/>
        <w:jc w:val="both"/>
        <w:rPr>
          <w:rFonts w:asciiTheme="majorHAnsi" w:hAnsiTheme="majorHAnsi" w:cstheme="majorHAnsi"/>
        </w:rPr>
      </w:pPr>
      <w:r w:rsidRPr="00985B97">
        <w:rPr>
          <w:rFonts w:asciiTheme="majorHAnsi" w:hAnsiTheme="majorHAnsi" w:cstheme="majorHAnsi"/>
        </w:rPr>
        <w:t>Descripción y análisis de la estrategia de relacionamiento legislativo del Grupo de Asuntos legislativos del Ministerio de Minas y Energía</w:t>
      </w:r>
      <w:r w:rsidR="003F2617" w:rsidRPr="00985B97">
        <w:rPr>
          <w:rFonts w:asciiTheme="majorHAnsi" w:hAnsiTheme="majorHAnsi" w:cstheme="majorHAnsi"/>
        </w:rPr>
        <w:t>, reconstruyendo sus procedimientos, registro y prácticas de análisis legislativo a partir de documentos internos y normativos sectoriales.</w:t>
      </w:r>
    </w:p>
    <w:p w14:paraId="47080181" w14:textId="77777777" w:rsidR="0013501D" w:rsidRPr="00985B97" w:rsidRDefault="0013501D" w:rsidP="00721806">
      <w:pPr>
        <w:pStyle w:val="Prrafodelista"/>
        <w:numPr>
          <w:ilvl w:val="0"/>
          <w:numId w:val="2"/>
        </w:numPr>
        <w:ind w:left="450"/>
        <w:jc w:val="both"/>
        <w:rPr>
          <w:rFonts w:asciiTheme="majorHAnsi" w:hAnsiTheme="majorHAnsi" w:cstheme="majorHAnsi"/>
        </w:rPr>
      </w:pPr>
      <w:r w:rsidRPr="00985B97">
        <w:rPr>
          <w:rFonts w:asciiTheme="majorHAnsi" w:hAnsiTheme="majorHAnsi" w:cstheme="majorHAnsi"/>
        </w:rPr>
        <w:t>Análisis comparado con casos de países latinoamericanos, con énfasis en mecanismos de relacionamiento entre el ejecutivo y el legislativo en materia de política energética.</w:t>
      </w:r>
    </w:p>
    <w:p w14:paraId="192E82B7" w14:textId="77777777" w:rsidR="00D077D9" w:rsidRPr="00985B97" w:rsidRDefault="7B484E80" w:rsidP="00721806">
      <w:pPr>
        <w:pStyle w:val="Prrafodelista"/>
        <w:numPr>
          <w:ilvl w:val="0"/>
          <w:numId w:val="2"/>
        </w:numPr>
        <w:ind w:left="450"/>
        <w:jc w:val="both"/>
        <w:rPr>
          <w:rFonts w:asciiTheme="majorHAnsi" w:hAnsiTheme="majorHAnsi" w:cstheme="majorHAnsi"/>
        </w:rPr>
      </w:pPr>
      <w:r w:rsidRPr="00985B97">
        <w:rPr>
          <w:rFonts w:asciiTheme="majorHAnsi" w:hAnsiTheme="majorHAnsi" w:cstheme="majorHAnsi"/>
        </w:rPr>
        <w:t>Recopilación y análisis sistemático de documentos oficiales de los últimos 4 años (2022-2026), incluyendo proyectos de ley relacionados con transición energética, actas de debates en el Congreso, informes, respuestas a solicitudes de información (derecho de petición), audiencias públicas y minutas de comisiones (Quinta y Sexta del Senado y Cámara).</w:t>
      </w:r>
    </w:p>
    <w:p w14:paraId="28595995" w14:textId="77777777" w:rsidR="003F2617" w:rsidRPr="00985B97" w:rsidRDefault="7B484E80" w:rsidP="00721806">
      <w:pPr>
        <w:pStyle w:val="Prrafodelista"/>
        <w:numPr>
          <w:ilvl w:val="0"/>
          <w:numId w:val="2"/>
        </w:numPr>
        <w:ind w:left="450"/>
        <w:jc w:val="both"/>
        <w:rPr>
          <w:rFonts w:asciiTheme="majorHAnsi" w:hAnsiTheme="majorHAnsi" w:cstheme="majorHAnsi"/>
        </w:rPr>
      </w:pPr>
      <w:r w:rsidRPr="00985B97">
        <w:rPr>
          <w:rFonts w:asciiTheme="majorHAnsi" w:hAnsiTheme="majorHAnsi" w:cstheme="majorHAnsi"/>
        </w:rPr>
        <w:t>Identificación de patrones de interacción</w:t>
      </w:r>
      <w:r w:rsidR="003F2617" w:rsidRPr="00985B97">
        <w:rPr>
          <w:rFonts w:asciiTheme="majorHAnsi" w:hAnsiTheme="majorHAnsi" w:cstheme="majorHAnsi"/>
        </w:rPr>
        <w:t xml:space="preserve"> ejecutivo-legislativo</w:t>
      </w:r>
      <w:r w:rsidRPr="00985B97">
        <w:rPr>
          <w:rFonts w:asciiTheme="majorHAnsi" w:hAnsiTheme="majorHAnsi" w:cstheme="majorHAnsi"/>
        </w:rPr>
        <w:t>: frecuencia de iniciativas, tasas de aprobación/rechazo, temas recurrentes y evidencia de coordinación estratégica.</w:t>
      </w:r>
    </w:p>
    <w:p w14:paraId="06CE7E54" w14:textId="77777777" w:rsidR="00D077D9" w:rsidRPr="00985B97" w:rsidRDefault="00D077D9" w:rsidP="00985B97">
      <w:pPr>
        <w:pStyle w:val="Prrafodelista"/>
        <w:ind w:left="0"/>
        <w:jc w:val="both"/>
        <w:rPr>
          <w:rFonts w:asciiTheme="majorHAnsi" w:hAnsiTheme="majorHAnsi" w:cstheme="majorHAnsi"/>
        </w:rPr>
      </w:pPr>
    </w:p>
    <w:p w14:paraId="3AD0FDC9" w14:textId="77777777" w:rsidR="00D077D9" w:rsidRPr="00985B97" w:rsidRDefault="7B484E80" w:rsidP="00985B97">
      <w:pPr>
        <w:pStyle w:val="Prrafodelista"/>
        <w:ind w:left="0"/>
        <w:jc w:val="both"/>
        <w:rPr>
          <w:rFonts w:asciiTheme="majorHAnsi" w:hAnsiTheme="majorHAnsi" w:cstheme="majorHAnsi"/>
        </w:rPr>
      </w:pPr>
      <w:r w:rsidRPr="00985B97">
        <w:rPr>
          <w:rFonts w:asciiTheme="majorHAnsi" w:hAnsiTheme="majorHAnsi" w:cstheme="majorHAnsi"/>
        </w:rPr>
        <w:t>La segunda etapa tiene como fin conocer la perspectiva de los actores principales sobre el problema de investigación para explorar experiencias prácticas, obstáculos y propuestas de mejora, y se desarrollará de la siguiente manera:</w:t>
      </w:r>
    </w:p>
    <w:p w14:paraId="7EA4D45E" w14:textId="77777777" w:rsidR="00D077D9" w:rsidRPr="00985B97" w:rsidRDefault="00D077D9" w:rsidP="00985B97">
      <w:pPr>
        <w:pStyle w:val="Prrafodelista"/>
        <w:ind w:left="0"/>
        <w:jc w:val="both"/>
        <w:rPr>
          <w:rFonts w:asciiTheme="majorHAnsi" w:hAnsiTheme="majorHAnsi" w:cstheme="majorHAnsi"/>
        </w:rPr>
      </w:pPr>
    </w:p>
    <w:p w14:paraId="14741DE0" w14:textId="77777777" w:rsidR="00D077D9" w:rsidRPr="00985B97" w:rsidRDefault="7B484E80" w:rsidP="00721806">
      <w:pPr>
        <w:pStyle w:val="Prrafodelista"/>
        <w:numPr>
          <w:ilvl w:val="0"/>
          <w:numId w:val="1"/>
        </w:numPr>
        <w:ind w:left="360" w:hanging="270"/>
        <w:jc w:val="both"/>
        <w:rPr>
          <w:rFonts w:asciiTheme="majorHAnsi" w:hAnsiTheme="majorHAnsi" w:cstheme="majorHAnsi"/>
        </w:rPr>
      </w:pPr>
      <w:r w:rsidRPr="00985B97">
        <w:rPr>
          <w:rFonts w:asciiTheme="majorHAnsi" w:hAnsiTheme="majorHAnsi" w:cstheme="majorHAnsi"/>
        </w:rPr>
        <w:t>Entrevistas semiestructuradas a actores clave: funcionarios de alto y medio nivel de Ministerio de Energía, congresistas y asesores de las comisiones Quinta y Sexta o integrantes de Unidades Técnicas Legislativas (UTL).</w:t>
      </w:r>
    </w:p>
    <w:p w14:paraId="45AADA70" w14:textId="77777777" w:rsidR="003F2617" w:rsidRPr="00985B97" w:rsidRDefault="7B484E80" w:rsidP="00721806">
      <w:pPr>
        <w:pStyle w:val="Prrafodelista"/>
        <w:numPr>
          <w:ilvl w:val="0"/>
          <w:numId w:val="1"/>
        </w:numPr>
        <w:ind w:left="360" w:hanging="270"/>
        <w:jc w:val="both"/>
        <w:rPr>
          <w:rFonts w:asciiTheme="majorHAnsi" w:hAnsiTheme="majorHAnsi" w:cstheme="majorHAnsi"/>
        </w:rPr>
      </w:pPr>
      <w:r w:rsidRPr="00985B97">
        <w:rPr>
          <w:rFonts w:asciiTheme="majorHAnsi" w:hAnsiTheme="majorHAnsi" w:cstheme="majorHAnsi"/>
        </w:rPr>
        <w:t xml:space="preserve">Grupos focales con asesores del Ministerio involucrados en relacionamiento </w:t>
      </w:r>
      <w:proofErr w:type="spellStart"/>
      <w:r w:rsidRPr="00985B97">
        <w:rPr>
          <w:rFonts w:asciiTheme="majorHAnsi" w:hAnsiTheme="majorHAnsi" w:cstheme="majorHAnsi"/>
        </w:rPr>
        <w:t>congresional</w:t>
      </w:r>
      <w:proofErr w:type="spellEnd"/>
      <w:r w:rsidRPr="00985B97">
        <w:rPr>
          <w:rFonts w:asciiTheme="majorHAnsi" w:hAnsiTheme="majorHAnsi" w:cstheme="majorHAnsi"/>
        </w:rPr>
        <w:t>, para explorar experiencias prácticas, obstáculos y propuestas de mejora.</w:t>
      </w:r>
    </w:p>
    <w:p w14:paraId="468AE024" w14:textId="77777777" w:rsidR="003F2617" w:rsidRPr="00985B97" w:rsidRDefault="003F2617" w:rsidP="00985B97">
      <w:pPr>
        <w:pStyle w:val="Prrafodelista"/>
        <w:ind w:left="0"/>
        <w:jc w:val="both"/>
        <w:rPr>
          <w:rFonts w:asciiTheme="majorHAnsi" w:hAnsiTheme="majorHAnsi" w:cstheme="majorHAnsi"/>
        </w:rPr>
      </w:pPr>
    </w:p>
    <w:p w14:paraId="58C59CAB" w14:textId="77777777" w:rsidR="003F2617" w:rsidRPr="00985B97" w:rsidRDefault="7B484E80" w:rsidP="00985B97">
      <w:pPr>
        <w:pStyle w:val="Prrafodelista"/>
        <w:ind w:left="0"/>
        <w:jc w:val="both"/>
        <w:rPr>
          <w:rFonts w:asciiTheme="majorHAnsi" w:hAnsiTheme="majorHAnsi" w:cstheme="majorHAnsi"/>
        </w:rPr>
      </w:pPr>
      <w:r w:rsidRPr="00985B97">
        <w:rPr>
          <w:rFonts w:asciiTheme="majorHAnsi" w:hAnsiTheme="majorHAnsi" w:cstheme="majorHAnsi"/>
        </w:rPr>
        <w:t>Finalmente, la tercera etapa consistirá en el análisis de datos y la construcción de la propuesta</w:t>
      </w:r>
      <w:r w:rsidR="56058FE3" w:rsidRPr="00985B97">
        <w:rPr>
          <w:rFonts w:asciiTheme="majorHAnsi" w:hAnsiTheme="majorHAnsi" w:cstheme="majorHAnsi"/>
        </w:rPr>
        <w:t xml:space="preserve"> </w:t>
      </w:r>
      <w:r w:rsidRPr="00985B97">
        <w:rPr>
          <w:rFonts w:asciiTheme="majorHAnsi" w:hAnsiTheme="majorHAnsi" w:cstheme="majorHAnsi"/>
        </w:rPr>
        <w:t>de relacionamiento entre el Ministerio de Minas y Energía y el Congreso de la República</w:t>
      </w:r>
      <w:r w:rsidR="003F2617" w:rsidRPr="00985B97">
        <w:rPr>
          <w:rFonts w:asciiTheme="majorHAnsi" w:hAnsiTheme="majorHAnsi" w:cstheme="majorHAnsi"/>
        </w:rPr>
        <w:t>. A partir de los resultados de las etapas anteriores, se realizará una integración analítica que permita:</w:t>
      </w:r>
    </w:p>
    <w:p w14:paraId="301832ED" w14:textId="77777777" w:rsidR="003F2617" w:rsidRPr="00985B97" w:rsidRDefault="003F2617" w:rsidP="00985B97">
      <w:pPr>
        <w:pStyle w:val="Prrafodelista"/>
        <w:ind w:left="0"/>
        <w:jc w:val="both"/>
        <w:rPr>
          <w:rFonts w:asciiTheme="majorHAnsi" w:hAnsiTheme="majorHAnsi" w:cstheme="majorHAnsi"/>
        </w:rPr>
      </w:pPr>
    </w:p>
    <w:p w14:paraId="2B6669AB" w14:textId="77777777" w:rsidR="003F2617" w:rsidRPr="00985B97" w:rsidRDefault="003F2617" w:rsidP="00721806">
      <w:pPr>
        <w:pStyle w:val="Prrafodelista"/>
        <w:numPr>
          <w:ilvl w:val="0"/>
          <w:numId w:val="38"/>
        </w:numPr>
        <w:ind w:left="426"/>
        <w:jc w:val="both"/>
        <w:rPr>
          <w:rFonts w:asciiTheme="majorHAnsi" w:hAnsiTheme="majorHAnsi" w:cstheme="majorHAnsi"/>
        </w:rPr>
      </w:pPr>
      <w:r w:rsidRPr="00985B97">
        <w:rPr>
          <w:rFonts w:asciiTheme="majorHAnsi" w:hAnsiTheme="majorHAnsi" w:cstheme="majorHAnsi"/>
        </w:rPr>
        <w:t>Articular los hallazgos documentales y las perspectivas de los actores en torno a las categorías de análisis definidas (dinámica de relacionamiento, articulación interinstitucional, análisis estratégico legislativo, transición energética justa).</w:t>
      </w:r>
    </w:p>
    <w:p w14:paraId="12F0881C" w14:textId="77777777" w:rsidR="003F2617" w:rsidRPr="00985B97" w:rsidRDefault="003F2617" w:rsidP="00721806">
      <w:pPr>
        <w:pStyle w:val="Prrafodelista"/>
        <w:numPr>
          <w:ilvl w:val="0"/>
          <w:numId w:val="38"/>
        </w:numPr>
        <w:ind w:left="426"/>
        <w:jc w:val="both"/>
        <w:rPr>
          <w:rFonts w:asciiTheme="majorHAnsi" w:hAnsiTheme="majorHAnsi" w:cstheme="majorHAnsi"/>
        </w:rPr>
      </w:pPr>
      <w:r w:rsidRPr="00985B97">
        <w:rPr>
          <w:rFonts w:asciiTheme="majorHAnsi" w:hAnsiTheme="majorHAnsi" w:cstheme="majorHAnsi"/>
        </w:rPr>
        <w:t>Identificar vacíos, contradicciones y buenas prácticas en la estrategia de relacionamiento vigente.</w:t>
      </w:r>
    </w:p>
    <w:p w14:paraId="6ADA77FD" w14:textId="5E14A426" w:rsidR="00D077D9" w:rsidRPr="00A86834" w:rsidRDefault="003F2617" w:rsidP="00A86834">
      <w:pPr>
        <w:pStyle w:val="Prrafodelista"/>
        <w:numPr>
          <w:ilvl w:val="0"/>
          <w:numId w:val="38"/>
        </w:numPr>
        <w:ind w:left="426"/>
        <w:jc w:val="both"/>
        <w:rPr>
          <w:rFonts w:asciiTheme="majorHAnsi" w:hAnsiTheme="majorHAnsi" w:cstheme="majorHAnsi"/>
        </w:rPr>
      </w:pPr>
      <w:r w:rsidRPr="00985B97">
        <w:rPr>
          <w:rFonts w:asciiTheme="majorHAnsi" w:hAnsiTheme="majorHAnsi" w:cstheme="majorHAnsi"/>
        </w:rPr>
        <w:t xml:space="preserve">Elaborar una propuesta de estrategia institucional de relacionamiento legislativo para el MME, que incluya lineamientos para el fortalecimiento del análisis estratégico legislativo, mecanismos de coordinación </w:t>
      </w:r>
      <w:proofErr w:type="spellStart"/>
      <w:r w:rsidRPr="00985B97">
        <w:rPr>
          <w:rFonts w:asciiTheme="majorHAnsi" w:hAnsiTheme="majorHAnsi" w:cstheme="majorHAnsi"/>
        </w:rPr>
        <w:t>intrasectorial</w:t>
      </w:r>
      <w:proofErr w:type="spellEnd"/>
      <w:r w:rsidRPr="00985B97">
        <w:rPr>
          <w:rFonts w:asciiTheme="majorHAnsi" w:hAnsiTheme="majorHAnsi" w:cstheme="majorHAnsi"/>
        </w:rPr>
        <w:t xml:space="preserve"> e intersectorial, y dispositivos de interacción con el Congreso orientados a acompañar de manera más coherente el desarrollo de la política de transición energética justa.</w:t>
      </w:r>
    </w:p>
    <w:p w14:paraId="5A3A1048" w14:textId="77777777" w:rsidR="006919AE" w:rsidRPr="00985B97" w:rsidRDefault="5B82F1A0" w:rsidP="00A86834">
      <w:pPr>
        <w:pStyle w:val="Ttulo1"/>
      </w:pPr>
      <w:bookmarkStart w:id="150" w:name="_Toc235092560"/>
      <w:bookmarkStart w:id="151" w:name="_Toc235108004"/>
      <w:bookmarkEnd w:id="149"/>
      <w:r w:rsidRPr="00985B97">
        <w:t>Capítulo 1</w:t>
      </w:r>
      <w:r w:rsidR="00B829C8" w:rsidRPr="00985B97">
        <w:t>. Relación entre el Ministerio de Minas y Energía y el Congreso de la República</w:t>
      </w:r>
      <w:bookmarkEnd w:id="150"/>
      <w:bookmarkEnd w:id="151"/>
    </w:p>
    <w:p w14:paraId="008F7F3D" w14:textId="77777777" w:rsidR="4CED5932" w:rsidRPr="00985B97" w:rsidRDefault="4CED5932" w:rsidP="00985B97">
      <w:pPr>
        <w:jc w:val="both"/>
        <w:rPr>
          <w:rFonts w:asciiTheme="majorHAnsi" w:hAnsiTheme="majorHAnsi" w:cstheme="majorHAnsi"/>
        </w:rPr>
      </w:pPr>
      <w:r w:rsidRPr="00985B97">
        <w:rPr>
          <w:rFonts w:asciiTheme="majorHAnsi" w:hAnsiTheme="majorHAnsi" w:cstheme="majorHAnsi"/>
        </w:rPr>
        <w:t>La relación actual entre el Ministerio de Minas y Energía y el Congreso de la República se caracteriza por una tensión constante entre la formalidad institucional y la informalidad de los vínculos personales. Este capítulo busca describir y analizar dicha relación, evidenciando hasta qué punto depende de contactos individuales, negociaciones coyunturales y dinámicas personalistas, más que de estructuras institucionales sólidas y permanentes. La caracterización de esta interacción permitirá comprender cómo la ausencia de un análisis estratégico legislativo robusto ha derivado en prácticas fragmentadas que limitan la capacidad del Ministerio para consolidar alianzas legislativas y avanzar en la política de transición energética justa.</w:t>
      </w:r>
    </w:p>
    <w:p w14:paraId="1C10FBEA" w14:textId="77777777" w:rsidR="00C13438" w:rsidRPr="00985B97" w:rsidRDefault="00F51464" w:rsidP="00985B97">
      <w:pPr>
        <w:pStyle w:val="Ttulo2"/>
        <w:rPr>
          <w:rFonts w:asciiTheme="majorHAnsi" w:hAnsiTheme="majorHAnsi" w:cstheme="majorHAnsi"/>
          <w:sz w:val="22"/>
          <w:szCs w:val="22"/>
        </w:rPr>
      </w:pPr>
      <w:bookmarkStart w:id="152" w:name="_Toc235092561"/>
      <w:bookmarkStart w:id="153" w:name="_Toc235108005"/>
      <w:r w:rsidRPr="00985B97">
        <w:rPr>
          <w:rFonts w:asciiTheme="majorHAnsi" w:hAnsiTheme="majorHAnsi" w:cstheme="majorHAnsi"/>
          <w:sz w:val="22"/>
          <w:szCs w:val="22"/>
        </w:rPr>
        <w:t>1.1 Caso colombiano</w:t>
      </w:r>
      <w:bookmarkEnd w:id="152"/>
      <w:bookmarkEnd w:id="153"/>
    </w:p>
    <w:p w14:paraId="529CEEB0" w14:textId="77777777" w:rsidR="00F51464" w:rsidRPr="00985B97" w:rsidRDefault="00F51464" w:rsidP="00985B97">
      <w:pPr>
        <w:pStyle w:val="Ttulo3"/>
        <w:rPr>
          <w:rFonts w:asciiTheme="majorHAnsi" w:hAnsiTheme="majorHAnsi" w:cstheme="majorHAnsi"/>
          <w:sz w:val="22"/>
          <w:szCs w:val="22"/>
          <w:lang w:val="es-ES"/>
        </w:rPr>
      </w:pPr>
      <w:bookmarkStart w:id="154" w:name="_Toc235092562"/>
      <w:bookmarkStart w:id="155" w:name="_Toc235108006"/>
      <w:r w:rsidRPr="00985B97">
        <w:rPr>
          <w:rFonts w:asciiTheme="majorHAnsi" w:hAnsiTheme="majorHAnsi" w:cstheme="majorHAnsi"/>
          <w:sz w:val="22"/>
          <w:szCs w:val="22"/>
          <w:lang w:val="es-ES"/>
        </w:rPr>
        <w:t>1.</w:t>
      </w:r>
      <w:r w:rsidR="004724DF" w:rsidRPr="00985B97">
        <w:rPr>
          <w:rFonts w:asciiTheme="majorHAnsi" w:hAnsiTheme="majorHAnsi" w:cstheme="majorHAnsi"/>
          <w:sz w:val="22"/>
          <w:szCs w:val="22"/>
          <w:lang w:val="es-ES"/>
        </w:rPr>
        <w:t>1.1</w:t>
      </w:r>
      <w:r w:rsidRPr="00985B97">
        <w:rPr>
          <w:rFonts w:asciiTheme="majorHAnsi" w:hAnsiTheme="majorHAnsi" w:cstheme="majorHAnsi"/>
          <w:sz w:val="22"/>
          <w:szCs w:val="22"/>
          <w:lang w:val="es-ES"/>
        </w:rPr>
        <w:t xml:space="preserve"> Contexto Institucional</w:t>
      </w:r>
      <w:bookmarkEnd w:id="154"/>
      <w:bookmarkEnd w:id="155"/>
      <w:r w:rsidRPr="00985B97">
        <w:rPr>
          <w:rFonts w:asciiTheme="majorHAnsi" w:hAnsiTheme="majorHAnsi" w:cstheme="majorHAnsi"/>
          <w:sz w:val="22"/>
          <w:szCs w:val="22"/>
          <w:lang w:val="es-ES"/>
        </w:rPr>
        <w:t> </w:t>
      </w:r>
    </w:p>
    <w:p w14:paraId="697DC17F" w14:textId="77777777" w:rsidR="000F3B98" w:rsidRPr="00985B97" w:rsidRDefault="00F51464"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El sistema político colombiano es un presidencialismo puro sin mecanismos formales de coalición</w:t>
      </w:r>
      <w:r w:rsidR="000F3B98" w:rsidRPr="00985B97">
        <w:rPr>
          <w:rFonts w:asciiTheme="majorHAnsi" w:hAnsiTheme="majorHAnsi" w:cstheme="majorHAnsi"/>
          <w:lang w:val="es-ES"/>
        </w:rPr>
        <w:t xml:space="preserve">, en el que coexisten cuatro fenómenos: (a) un sistema de pesos y contrapesos con mecanismos de rendición de </w:t>
      </w:r>
      <w:r w:rsidR="000F3B98" w:rsidRPr="00985B97">
        <w:rPr>
          <w:rFonts w:asciiTheme="majorHAnsi" w:hAnsiTheme="majorHAnsi" w:cstheme="majorHAnsi"/>
          <w:lang w:val="es-ES"/>
        </w:rPr>
        <w:lastRenderedPageBreak/>
        <w:t xml:space="preserve">cuentas horizontal poco desarrollados a nivel sectorial; (b) una fragmentación partidista creciente que multiplica los actores de veto; (c) unos costos de transacción legislativa elevados en el sector energético, verificables empíricamente en la tasa de archivo de proyectos; y (d) una relación de agencia entre el </w:t>
      </w:r>
      <w:r w:rsidR="001D4B0A" w:rsidRPr="00985B97">
        <w:rPr>
          <w:rFonts w:asciiTheme="majorHAnsi" w:hAnsiTheme="majorHAnsi" w:cstheme="majorHAnsi"/>
          <w:lang w:val="es-ES"/>
        </w:rPr>
        <w:t>ejecutivo</w:t>
      </w:r>
      <w:r w:rsidR="000F3B98" w:rsidRPr="00985B97">
        <w:rPr>
          <w:rFonts w:asciiTheme="majorHAnsi" w:hAnsiTheme="majorHAnsi" w:cstheme="majorHAnsi"/>
          <w:lang w:val="es-ES"/>
        </w:rPr>
        <w:t xml:space="preserve"> y el </w:t>
      </w:r>
      <w:r w:rsidR="001D4B0A" w:rsidRPr="00985B97">
        <w:rPr>
          <w:rFonts w:asciiTheme="majorHAnsi" w:hAnsiTheme="majorHAnsi" w:cstheme="majorHAnsi"/>
          <w:lang w:val="es-ES"/>
        </w:rPr>
        <w:t>legislativo</w:t>
      </w:r>
      <w:r w:rsidR="000F3B98" w:rsidRPr="00985B97">
        <w:rPr>
          <w:rFonts w:asciiTheme="majorHAnsi" w:hAnsiTheme="majorHAnsi" w:cstheme="majorHAnsi"/>
          <w:lang w:val="es-ES"/>
        </w:rPr>
        <w:t xml:space="preserve"> caracterizada por asimetrías de información y ausencia de mecanismos técnicos anticipatorios. </w:t>
      </w:r>
    </w:p>
    <w:p w14:paraId="18750858" w14:textId="77777777" w:rsidR="000F3B98" w:rsidRPr="00985B97" w:rsidRDefault="000F3B98"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La Constitución del 1991 estableció un presidencialismo sin mecanismos formales de coalición de gobierno, en el que la formación de mayorías legislativas depende de negociaciones entre el </w:t>
      </w:r>
      <w:r w:rsidR="001D4B0A" w:rsidRPr="00985B97">
        <w:rPr>
          <w:rFonts w:asciiTheme="majorHAnsi" w:hAnsiTheme="majorHAnsi" w:cstheme="majorHAnsi"/>
          <w:lang w:val="es-ES"/>
        </w:rPr>
        <w:t>ejecutivo</w:t>
      </w:r>
      <w:r w:rsidRPr="00985B97">
        <w:rPr>
          <w:rFonts w:asciiTheme="majorHAnsi" w:hAnsiTheme="majorHAnsi" w:cstheme="majorHAnsi"/>
          <w:lang w:val="es-ES"/>
        </w:rPr>
        <w:t xml:space="preserve"> y las colectividades representadas en el Congreso. Si bien este esquema está basado en el principio clásico de separación y equilibrio de poderes de Montesquieu, el diseño de pesos y contrapesos solo garantiza la existencia formal de frenos institucionales, no asegura por sí mismo la capacidad de agencias estatales para supervisar, sancionar o corregir actuaciones ilegales o deficientes de otras agencias estatales (canales de </w:t>
      </w:r>
      <w:proofErr w:type="spellStart"/>
      <w:r w:rsidRPr="00985B97">
        <w:rPr>
          <w:rFonts w:asciiTheme="majorHAnsi" w:hAnsiTheme="majorHAnsi" w:cstheme="majorHAnsi"/>
          <w:lang w:val="es-ES"/>
        </w:rPr>
        <w:t>accountability</w:t>
      </w:r>
      <w:proofErr w:type="spellEnd"/>
      <w:r w:rsidRPr="00985B97">
        <w:rPr>
          <w:rFonts w:asciiTheme="majorHAnsi" w:hAnsiTheme="majorHAnsi" w:cstheme="majorHAnsi"/>
          <w:lang w:val="es-ES"/>
        </w:rPr>
        <w:t xml:space="preserve"> horizontal efectivo) (O'Donnell, 1998).</w:t>
      </w:r>
    </w:p>
    <w:p w14:paraId="5CCDDE53" w14:textId="77777777" w:rsidR="000F3B98" w:rsidRPr="00985B97" w:rsidRDefault="000F3B98"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En este contexto, la relación entre el Ministerio de Minas y Energía y el Congreso está marcada por el control político previsto en los artículos 135, 137, 138, 141 y 208 de la Ley 5 de 1992, que es la herramienta principal de </w:t>
      </w:r>
      <w:proofErr w:type="spellStart"/>
      <w:r w:rsidRPr="00985B97">
        <w:rPr>
          <w:rFonts w:asciiTheme="majorHAnsi" w:hAnsiTheme="majorHAnsi" w:cstheme="majorHAnsi"/>
          <w:lang w:val="es-ES"/>
        </w:rPr>
        <w:t>accountability</w:t>
      </w:r>
      <w:proofErr w:type="spellEnd"/>
      <w:r w:rsidRPr="00985B97">
        <w:rPr>
          <w:rFonts w:asciiTheme="majorHAnsi" w:hAnsiTheme="majorHAnsi" w:cstheme="majorHAnsi"/>
          <w:lang w:val="es-ES"/>
        </w:rPr>
        <w:t xml:space="preserve"> horizontal de la que dispone el legislativo frente al ejecutivo sectorial: la facultad de citar y requerir a los ministros para debates de control político y de emplazamiento (Congreso de la República, 1992). No obstante, la evidencia empírica sugiere que este mecanismo también se ha convertido en un instrumento de </w:t>
      </w:r>
      <w:proofErr w:type="spellStart"/>
      <w:r w:rsidRPr="00985B97">
        <w:rPr>
          <w:rFonts w:asciiTheme="majorHAnsi" w:hAnsiTheme="majorHAnsi" w:cstheme="majorHAnsi"/>
          <w:lang w:val="es-ES"/>
        </w:rPr>
        <w:t>visibilización</w:t>
      </w:r>
      <w:proofErr w:type="spellEnd"/>
      <w:r w:rsidRPr="00985B97">
        <w:rPr>
          <w:rFonts w:asciiTheme="majorHAnsi" w:hAnsiTheme="majorHAnsi" w:cstheme="majorHAnsi"/>
          <w:lang w:val="es-ES"/>
        </w:rPr>
        <w:t xml:space="preserve"> política y desgaste comunicacional, e incluso, como </w:t>
      </w:r>
      <w:r w:rsidR="005D2615" w:rsidRPr="00985B97">
        <w:rPr>
          <w:rFonts w:asciiTheme="majorHAnsi" w:hAnsiTheme="majorHAnsi" w:cstheme="majorHAnsi"/>
          <w:lang w:val="es-ES"/>
        </w:rPr>
        <w:t>mecanismo</w:t>
      </w:r>
      <w:r w:rsidRPr="00985B97">
        <w:rPr>
          <w:rFonts w:asciiTheme="majorHAnsi" w:hAnsiTheme="majorHAnsi" w:cstheme="majorHAnsi"/>
          <w:lang w:val="es-ES"/>
        </w:rPr>
        <w:t xml:space="preserve"> de negociación </w:t>
      </w:r>
      <w:r w:rsidR="005D2615" w:rsidRPr="00985B97">
        <w:rPr>
          <w:rFonts w:asciiTheme="majorHAnsi" w:hAnsiTheme="majorHAnsi" w:cstheme="majorHAnsi"/>
          <w:lang w:val="es-ES"/>
        </w:rPr>
        <w:t>para crear</w:t>
      </w:r>
      <w:r w:rsidRPr="00985B97">
        <w:rPr>
          <w:rFonts w:asciiTheme="majorHAnsi" w:hAnsiTheme="majorHAnsi" w:cstheme="majorHAnsi"/>
          <w:lang w:val="es-ES"/>
        </w:rPr>
        <w:t xml:space="preserve"> acuerdos vinculantes sobre la agenda regulatoria energética.</w:t>
      </w:r>
    </w:p>
    <w:p w14:paraId="60D7057E" w14:textId="77777777" w:rsidR="000F3B98" w:rsidRPr="00985B97" w:rsidRDefault="00005A98"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Sumado a lo anterior, e</w:t>
      </w:r>
      <w:r w:rsidR="000F3B98" w:rsidRPr="00985B97">
        <w:rPr>
          <w:rFonts w:asciiTheme="majorHAnsi" w:hAnsiTheme="majorHAnsi" w:cstheme="majorHAnsi"/>
          <w:lang w:val="es-ES"/>
        </w:rPr>
        <w:t xml:space="preserve">l </w:t>
      </w:r>
      <w:r w:rsidRPr="00985B97">
        <w:rPr>
          <w:rFonts w:asciiTheme="majorHAnsi" w:hAnsiTheme="majorHAnsi" w:cstheme="majorHAnsi"/>
          <w:lang w:val="es-ES"/>
        </w:rPr>
        <w:t>multipartidismo crea</w:t>
      </w:r>
      <w:r w:rsidR="000F3B98" w:rsidRPr="00985B97">
        <w:rPr>
          <w:rFonts w:asciiTheme="majorHAnsi" w:hAnsiTheme="majorHAnsi" w:cstheme="majorHAnsi"/>
          <w:lang w:val="es-ES"/>
        </w:rPr>
        <w:t xml:space="preserve"> un escenario en el que ninguna colectividad concentra por sí sola una mayoría operativa. En el Senado elegido para el período 2022-2026, el Pacto Histórico obtuvo la primera minoría con aproximadamente 25 % de los escaños, seguido por el Centro Democrático con 20 %, mientras el resto se dispersó entre partidos de centro y derecha sin cohesión programática estable (Registraduría Nacional del Estado Civil, 2022)</w:t>
      </w:r>
      <w:r w:rsidRPr="00985B97">
        <w:rPr>
          <w:rFonts w:asciiTheme="majorHAnsi" w:hAnsiTheme="majorHAnsi" w:cstheme="majorHAnsi"/>
          <w:lang w:val="es-ES"/>
        </w:rPr>
        <w:t xml:space="preserve">, lo que aumenta </w:t>
      </w:r>
      <w:r w:rsidR="000F3B98" w:rsidRPr="00985B97">
        <w:rPr>
          <w:rFonts w:asciiTheme="majorHAnsi" w:hAnsiTheme="majorHAnsi" w:cstheme="majorHAnsi"/>
          <w:lang w:val="es-ES"/>
        </w:rPr>
        <w:t>el número de interlocutores con quienes el MME debe negociar individualmente, incrementando el costo de coordinación de cualquier iniciativa.</w:t>
      </w:r>
    </w:p>
    <w:p w14:paraId="33FAAFD4" w14:textId="77777777" w:rsidR="000F3B98" w:rsidRPr="00985B97" w:rsidRDefault="00005A98"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En</w:t>
      </w:r>
      <w:r w:rsidR="000F3B98" w:rsidRPr="00985B97">
        <w:rPr>
          <w:rFonts w:asciiTheme="majorHAnsi" w:hAnsiTheme="majorHAnsi" w:cstheme="majorHAnsi"/>
          <w:lang w:val="es-ES"/>
        </w:rPr>
        <w:t xml:space="preserve"> el período 2022-2026 </w:t>
      </w:r>
      <w:r w:rsidRPr="00985B97">
        <w:rPr>
          <w:rFonts w:asciiTheme="majorHAnsi" w:hAnsiTheme="majorHAnsi" w:cstheme="majorHAnsi"/>
          <w:lang w:val="es-ES"/>
        </w:rPr>
        <w:t xml:space="preserve">la actividad del MME </w:t>
      </w:r>
      <w:r w:rsidR="000F3B98" w:rsidRPr="00985B97">
        <w:rPr>
          <w:rFonts w:asciiTheme="majorHAnsi" w:hAnsiTheme="majorHAnsi" w:cstheme="majorHAnsi"/>
          <w:lang w:val="es-ES"/>
        </w:rPr>
        <w:t xml:space="preserve">se </w:t>
      </w:r>
      <w:r w:rsidRPr="00985B97">
        <w:rPr>
          <w:rFonts w:asciiTheme="majorHAnsi" w:hAnsiTheme="majorHAnsi" w:cstheme="majorHAnsi"/>
          <w:lang w:val="es-ES"/>
        </w:rPr>
        <w:t>vio inmersa en dos escenarios:</w:t>
      </w:r>
      <w:r w:rsidR="000F3B98" w:rsidRPr="00985B97">
        <w:rPr>
          <w:rFonts w:asciiTheme="majorHAnsi" w:hAnsiTheme="majorHAnsi" w:cstheme="majorHAnsi"/>
          <w:lang w:val="es-ES"/>
        </w:rPr>
        <w:t xml:space="preserve"> un </w:t>
      </w:r>
      <w:r w:rsidRPr="00985B97">
        <w:rPr>
          <w:rFonts w:asciiTheme="majorHAnsi" w:hAnsiTheme="majorHAnsi" w:cstheme="majorHAnsi"/>
          <w:lang w:val="es-ES"/>
        </w:rPr>
        <w:t>e</w:t>
      </w:r>
      <w:r w:rsidR="000F3B98" w:rsidRPr="00985B97">
        <w:rPr>
          <w:rFonts w:asciiTheme="majorHAnsi" w:hAnsiTheme="majorHAnsi" w:cstheme="majorHAnsi"/>
          <w:lang w:val="es-ES"/>
        </w:rPr>
        <w:t>jecutivo de tipo "nacional"</w:t>
      </w:r>
      <w:r w:rsidRPr="00985B97">
        <w:rPr>
          <w:rFonts w:asciiTheme="majorHAnsi" w:hAnsiTheme="majorHAnsi" w:cstheme="majorHAnsi"/>
          <w:lang w:val="es-ES"/>
        </w:rPr>
        <w:t xml:space="preserve"> con </w:t>
      </w:r>
      <w:r w:rsidR="000F3B98" w:rsidRPr="00985B97">
        <w:rPr>
          <w:rFonts w:asciiTheme="majorHAnsi" w:hAnsiTheme="majorHAnsi" w:cstheme="majorHAnsi"/>
          <w:lang w:val="es-ES"/>
        </w:rPr>
        <w:t>una agenda programática de transición energética</w:t>
      </w:r>
      <w:r w:rsidRPr="00985B97">
        <w:rPr>
          <w:rFonts w:asciiTheme="majorHAnsi" w:hAnsiTheme="majorHAnsi" w:cstheme="majorHAnsi"/>
          <w:lang w:val="es-ES"/>
        </w:rPr>
        <w:t xml:space="preserve">, </w:t>
      </w:r>
      <w:r w:rsidR="000F3B98" w:rsidRPr="00985B97">
        <w:rPr>
          <w:rFonts w:asciiTheme="majorHAnsi" w:hAnsiTheme="majorHAnsi" w:cstheme="majorHAnsi"/>
          <w:lang w:val="es-ES"/>
        </w:rPr>
        <w:t>frente a un</w:t>
      </w:r>
      <w:r w:rsidRPr="00985B97">
        <w:rPr>
          <w:rFonts w:asciiTheme="majorHAnsi" w:hAnsiTheme="majorHAnsi" w:cstheme="majorHAnsi"/>
          <w:lang w:val="es-ES"/>
        </w:rPr>
        <w:t xml:space="preserve"> Congreso </w:t>
      </w:r>
      <w:r w:rsidR="000F3B98" w:rsidRPr="00985B97">
        <w:rPr>
          <w:rFonts w:asciiTheme="majorHAnsi" w:hAnsiTheme="majorHAnsi" w:cstheme="majorHAnsi"/>
          <w:lang w:val="es-ES"/>
        </w:rPr>
        <w:t xml:space="preserve">tipo "negociador", </w:t>
      </w:r>
      <w:r w:rsidR="000F3B98" w:rsidRPr="00985B97">
        <w:rPr>
          <w:rFonts w:asciiTheme="majorHAnsi" w:hAnsiTheme="majorHAnsi" w:cstheme="majorHAnsi"/>
          <w:lang w:val="es-ES"/>
        </w:rPr>
        <w:lastRenderedPageBreak/>
        <w:t>cuyos miembros condicionan su respaldo a compensaciones distributivas específicas antes que a acuerdos programáticos de largo plazo (Puyana, 2008). Esta combinación produce, siguiendo a Cox y Morgenstern</w:t>
      </w:r>
      <w:r w:rsidRPr="00985B97">
        <w:rPr>
          <w:rFonts w:asciiTheme="majorHAnsi" w:hAnsiTheme="majorHAnsi" w:cstheme="majorHAnsi"/>
          <w:lang w:val="es-ES"/>
        </w:rPr>
        <w:t xml:space="preserve"> (1998, en Puyana, 2008)</w:t>
      </w:r>
      <w:r w:rsidR="000F3B98" w:rsidRPr="00985B97">
        <w:rPr>
          <w:rFonts w:asciiTheme="majorHAnsi" w:hAnsiTheme="majorHAnsi" w:cstheme="majorHAnsi"/>
          <w:lang w:val="es-ES"/>
        </w:rPr>
        <w:t xml:space="preserve">, una relación de "juego bilateral de vetos" en la que ninguna de las partes logra imponer unilateralmente su agenda, y en la que la ausencia de un aparato técnico permanente de relacionamiento legislativo impide </w:t>
      </w:r>
      <w:r w:rsidRPr="00985B97">
        <w:rPr>
          <w:rFonts w:asciiTheme="majorHAnsi" w:hAnsiTheme="majorHAnsi" w:cstheme="majorHAnsi"/>
          <w:lang w:val="es-ES"/>
        </w:rPr>
        <w:t>aprovechar</w:t>
      </w:r>
      <w:r w:rsidR="000F3B98" w:rsidRPr="00985B97">
        <w:rPr>
          <w:rFonts w:asciiTheme="majorHAnsi" w:hAnsiTheme="majorHAnsi" w:cstheme="majorHAnsi"/>
          <w:lang w:val="es-ES"/>
        </w:rPr>
        <w:t xml:space="preserve"> las ventanas de oportunidad que sí se generan coyunturalmente.</w:t>
      </w:r>
    </w:p>
    <w:p w14:paraId="333837ED" w14:textId="77777777" w:rsidR="000F3B98" w:rsidRPr="00985B97" w:rsidRDefault="000F3B98" w:rsidP="00985B97">
      <w:pPr>
        <w:pStyle w:val="Ttulo3"/>
        <w:rPr>
          <w:rFonts w:asciiTheme="majorHAnsi" w:hAnsiTheme="majorHAnsi" w:cstheme="majorHAnsi"/>
          <w:sz w:val="22"/>
          <w:szCs w:val="22"/>
          <w:lang w:val="es-ES"/>
        </w:rPr>
      </w:pPr>
      <w:bookmarkStart w:id="156" w:name="_Toc235092563"/>
      <w:bookmarkStart w:id="157" w:name="_Toc235108007"/>
      <w:r w:rsidRPr="00985B97">
        <w:rPr>
          <w:rFonts w:asciiTheme="majorHAnsi" w:hAnsiTheme="majorHAnsi" w:cstheme="majorHAnsi"/>
          <w:sz w:val="22"/>
          <w:szCs w:val="22"/>
          <w:lang w:val="es-ES"/>
        </w:rPr>
        <w:t xml:space="preserve">1.1.2 Costos de transacción, control político y </w:t>
      </w:r>
      <w:proofErr w:type="spellStart"/>
      <w:r w:rsidRPr="00985B97">
        <w:rPr>
          <w:rFonts w:asciiTheme="majorHAnsi" w:hAnsiTheme="majorHAnsi" w:cstheme="majorHAnsi"/>
          <w:sz w:val="22"/>
          <w:szCs w:val="22"/>
          <w:lang w:val="es-ES"/>
        </w:rPr>
        <w:t>gatekeeping</w:t>
      </w:r>
      <w:proofErr w:type="spellEnd"/>
      <w:r w:rsidRPr="00985B97">
        <w:rPr>
          <w:rFonts w:asciiTheme="majorHAnsi" w:hAnsiTheme="majorHAnsi" w:cstheme="majorHAnsi"/>
          <w:sz w:val="22"/>
          <w:szCs w:val="22"/>
          <w:lang w:val="es-ES"/>
        </w:rPr>
        <w:t xml:space="preserve"> legislativo en materia energética</w:t>
      </w:r>
      <w:bookmarkEnd w:id="156"/>
      <w:bookmarkEnd w:id="157"/>
    </w:p>
    <w:p w14:paraId="0EC645C2" w14:textId="77777777" w:rsidR="00D97E59" w:rsidRPr="00985B97" w:rsidRDefault="000F3B98"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La teoría de los costos de transacción</w:t>
      </w:r>
      <w:r w:rsidR="00705597" w:rsidRPr="00985B97">
        <w:rPr>
          <w:rFonts w:asciiTheme="majorHAnsi" w:hAnsiTheme="majorHAnsi" w:cstheme="majorHAnsi"/>
          <w:lang w:val="es-ES"/>
        </w:rPr>
        <w:t xml:space="preserve"> (</w:t>
      </w:r>
      <w:r w:rsidRPr="00985B97">
        <w:rPr>
          <w:rFonts w:asciiTheme="majorHAnsi" w:hAnsiTheme="majorHAnsi" w:cstheme="majorHAnsi"/>
          <w:lang w:val="es-ES"/>
        </w:rPr>
        <w:t>North</w:t>
      </w:r>
      <w:r w:rsidR="00705597" w:rsidRPr="00985B97">
        <w:rPr>
          <w:rFonts w:asciiTheme="majorHAnsi" w:hAnsiTheme="majorHAnsi" w:cstheme="majorHAnsi"/>
          <w:lang w:val="es-ES"/>
        </w:rPr>
        <w:t xml:space="preserve">, </w:t>
      </w:r>
      <w:r w:rsidRPr="00985B97">
        <w:rPr>
          <w:rFonts w:asciiTheme="majorHAnsi" w:hAnsiTheme="majorHAnsi" w:cstheme="majorHAnsi"/>
          <w:lang w:val="es-ES"/>
        </w:rPr>
        <w:t xml:space="preserve">1990), </w:t>
      </w:r>
      <w:r w:rsidR="00705597" w:rsidRPr="00985B97">
        <w:rPr>
          <w:rFonts w:asciiTheme="majorHAnsi" w:hAnsiTheme="majorHAnsi" w:cstheme="majorHAnsi"/>
          <w:lang w:val="es-ES"/>
        </w:rPr>
        <w:t>plantea</w:t>
      </w:r>
      <w:r w:rsidRPr="00985B97">
        <w:rPr>
          <w:rFonts w:asciiTheme="majorHAnsi" w:hAnsiTheme="majorHAnsi" w:cstheme="majorHAnsi"/>
          <w:lang w:val="es-ES"/>
        </w:rPr>
        <w:t xml:space="preserve"> que las instituciones existen para reducir la incertidumbre y los costos de negociación, información y cumplimiento de los acuerdos entre actores con intereses parcialmente divergentes. Aplicada al ámbito de las políticas públicas, el Análisis Político de los Costos de Transacción (APCT) desarrollado por </w:t>
      </w:r>
      <w:proofErr w:type="spellStart"/>
      <w:r w:rsidRPr="00985B97">
        <w:rPr>
          <w:rFonts w:asciiTheme="majorHAnsi" w:hAnsiTheme="majorHAnsi" w:cstheme="majorHAnsi"/>
          <w:lang w:val="es-ES"/>
        </w:rPr>
        <w:t>Spiller</w:t>
      </w:r>
      <w:proofErr w:type="spellEnd"/>
      <w:r w:rsidRPr="00985B97">
        <w:rPr>
          <w:rFonts w:asciiTheme="majorHAnsi" w:hAnsiTheme="majorHAnsi" w:cstheme="majorHAnsi"/>
          <w:lang w:val="es-ES"/>
        </w:rPr>
        <w:t xml:space="preserve"> y Tommasi (2003, 2007) sostiene que la calidad y estabilidad de una política pública dependen de la capacidad de los actores políticos para celebrar "transacciones políticas" intertemporalmente creíbles, lo cual a su vez depende del número de actores con poder de veto, del horizonte temporal de los acuerdos y de la existencia de arenas institucionales que faciliten el cumplimiento de los compromisos.</w:t>
      </w:r>
    </w:p>
    <w:p w14:paraId="676EE1F7" w14:textId="77777777" w:rsidR="00D97E59" w:rsidRPr="00985B97" w:rsidRDefault="00D97E59"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En la relación ejecutivo-legislativo existe un</w:t>
      </w:r>
      <w:r w:rsidR="000F3B98" w:rsidRPr="00985B97">
        <w:rPr>
          <w:rFonts w:asciiTheme="majorHAnsi" w:hAnsiTheme="majorHAnsi" w:cstheme="majorHAnsi"/>
          <w:lang w:val="es-ES"/>
        </w:rPr>
        <w:t>a ausencia de "tecnologías de compromiso" institucionalizadas</w:t>
      </w:r>
      <w:r w:rsidR="00705597" w:rsidRPr="00985B97">
        <w:rPr>
          <w:rFonts w:asciiTheme="majorHAnsi" w:hAnsiTheme="majorHAnsi" w:cstheme="majorHAnsi"/>
          <w:lang w:val="es-ES"/>
        </w:rPr>
        <w:t xml:space="preserve">, es decir, de </w:t>
      </w:r>
      <w:r w:rsidR="000F3B98" w:rsidRPr="00985B97">
        <w:rPr>
          <w:rFonts w:asciiTheme="majorHAnsi" w:hAnsiTheme="majorHAnsi" w:cstheme="majorHAnsi"/>
          <w:lang w:val="es-ES"/>
        </w:rPr>
        <w:t>oficinas técnicas permanentes de enlace legislativo, protocolos de negociación programática, sistemas de seguimiento de compromisos</w:t>
      </w:r>
      <w:r w:rsidR="00705597" w:rsidRPr="00985B97">
        <w:rPr>
          <w:rFonts w:asciiTheme="majorHAnsi" w:hAnsiTheme="majorHAnsi" w:cstheme="majorHAnsi"/>
          <w:lang w:val="es-ES"/>
        </w:rPr>
        <w:t>, entre otros, incrementa</w:t>
      </w:r>
      <w:r w:rsidR="000F3B98" w:rsidRPr="00985B97">
        <w:rPr>
          <w:rFonts w:asciiTheme="majorHAnsi" w:hAnsiTheme="majorHAnsi" w:cstheme="majorHAnsi"/>
          <w:lang w:val="es-ES"/>
        </w:rPr>
        <w:t xml:space="preserve"> los costos de transacción de cualquier reforma sectorial (Revista de Economía Institucional, 2003).</w:t>
      </w:r>
      <w:r w:rsidRPr="00985B97">
        <w:rPr>
          <w:rFonts w:asciiTheme="majorHAnsi" w:hAnsiTheme="majorHAnsi" w:cstheme="majorHAnsi"/>
          <w:lang w:val="es-ES"/>
        </w:rPr>
        <w:t xml:space="preserve"> En este sentido, </w:t>
      </w:r>
      <w:r w:rsidR="000F3B98" w:rsidRPr="00985B97">
        <w:rPr>
          <w:rFonts w:asciiTheme="majorHAnsi" w:hAnsiTheme="majorHAnsi" w:cstheme="majorHAnsi"/>
          <w:lang w:val="es-ES"/>
        </w:rPr>
        <w:t>el artículo 7 de la Ley 819 de 2003 exige que todo proyecto de ley, ordenanza o acuerdo que ordene gasto o conceda beneficios tributarios cuente con un aval o concepto previo de impacto fiscal por parte del Ministerio de Hacienda y Crédito Público, lo que en la práctica funciona como un filtro adicional que se superpone al filtro político de las comisiones (Congreso de la República, 2003).</w:t>
      </w:r>
    </w:p>
    <w:p w14:paraId="23DFAD4E" w14:textId="77777777" w:rsidR="000F3B98" w:rsidRPr="00985B97" w:rsidRDefault="00D97E59"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Adicional a esto,</w:t>
      </w:r>
      <w:r w:rsidR="000F3B98" w:rsidRPr="00985B97">
        <w:rPr>
          <w:rFonts w:asciiTheme="majorHAnsi" w:hAnsiTheme="majorHAnsi" w:cstheme="majorHAnsi"/>
          <w:lang w:val="es-ES"/>
        </w:rPr>
        <w:t xml:space="preserve"> el artículo 190 de la Ley 5 de 1992 establece el archivo automático de los proyectos que no completen su trámite dentro de dos legislaturas,</w:t>
      </w:r>
      <w:r w:rsidRPr="00985B97">
        <w:rPr>
          <w:rFonts w:asciiTheme="majorHAnsi" w:hAnsiTheme="majorHAnsi" w:cstheme="majorHAnsi"/>
          <w:lang w:val="es-ES"/>
        </w:rPr>
        <w:t xml:space="preserve"> un</w:t>
      </w:r>
      <w:r w:rsidR="000F3B98" w:rsidRPr="00985B97">
        <w:rPr>
          <w:rFonts w:asciiTheme="majorHAnsi" w:hAnsiTheme="majorHAnsi" w:cstheme="majorHAnsi"/>
          <w:lang w:val="es-ES"/>
        </w:rPr>
        <w:t xml:space="preserve"> mecanismo que en la práctica </w:t>
      </w:r>
      <w:r w:rsidRPr="00985B97">
        <w:rPr>
          <w:rFonts w:asciiTheme="majorHAnsi" w:hAnsiTheme="majorHAnsi" w:cstheme="majorHAnsi"/>
          <w:lang w:val="es-ES"/>
        </w:rPr>
        <w:t>funciona</w:t>
      </w:r>
      <w:r w:rsidR="000F3B98" w:rsidRPr="00985B97">
        <w:rPr>
          <w:rFonts w:asciiTheme="majorHAnsi" w:hAnsiTheme="majorHAnsi" w:cstheme="majorHAnsi"/>
          <w:lang w:val="es-ES"/>
        </w:rPr>
        <w:t xml:space="preserve"> como una </w:t>
      </w:r>
      <w:r w:rsidRPr="00985B97">
        <w:rPr>
          <w:rFonts w:asciiTheme="majorHAnsi" w:hAnsiTheme="majorHAnsi" w:cstheme="majorHAnsi"/>
          <w:lang w:val="es-ES"/>
        </w:rPr>
        <w:t xml:space="preserve">especie de </w:t>
      </w:r>
      <w:r w:rsidR="000F3B98" w:rsidRPr="00985B97">
        <w:rPr>
          <w:rFonts w:asciiTheme="majorHAnsi" w:hAnsiTheme="majorHAnsi" w:cstheme="majorHAnsi"/>
          <w:lang w:val="es-ES"/>
        </w:rPr>
        <w:t>vía de veto silencioso</w:t>
      </w:r>
      <w:r w:rsidRPr="00985B97">
        <w:rPr>
          <w:rFonts w:asciiTheme="majorHAnsi" w:hAnsiTheme="majorHAnsi" w:cstheme="majorHAnsi"/>
          <w:lang w:val="es-ES"/>
        </w:rPr>
        <w:t xml:space="preserve"> en la que, </w:t>
      </w:r>
      <w:r w:rsidR="000F3B98" w:rsidRPr="00985B97">
        <w:rPr>
          <w:rFonts w:asciiTheme="majorHAnsi" w:hAnsiTheme="majorHAnsi" w:cstheme="majorHAnsi"/>
          <w:lang w:val="es-ES"/>
        </w:rPr>
        <w:t xml:space="preserve">una comisión </w:t>
      </w:r>
      <w:r w:rsidRPr="00985B97">
        <w:rPr>
          <w:rFonts w:asciiTheme="majorHAnsi" w:hAnsiTheme="majorHAnsi" w:cstheme="majorHAnsi"/>
          <w:lang w:val="es-ES"/>
        </w:rPr>
        <w:t>puede dilatar</w:t>
      </w:r>
      <w:r w:rsidR="000F3B98" w:rsidRPr="00985B97">
        <w:rPr>
          <w:rFonts w:asciiTheme="majorHAnsi" w:hAnsiTheme="majorHAnsi" w:cstheme="majorHAnsi"/>
          <w:lang w:val="es-ES"/>
        </w:rPr>
        <w:t xml:space="preserve"> el debate para que </w:t>
      </w:r>
      <w:r w:rsidRPr="00985B97">
        <w:rPr>
          <w:rFonts w:asciiTheme="majorHAnsi" w:hAnsiTheme="majorHAnsi" w:cstheme="majorHAnsi"/>
          <w:lang w:val="es-ES"/>
        </w:rPr>
        <w:t>los</w:t>
      </w:r>
      <w:r w:rsidR="000F3B98" w:rsidRPr="00985B97">
        <w:rPr>
          <w:rFonts w:asciiTheme="majorHAnsi" w:hAnsiTheme="majorHAnsi" w:cstheme="majorHAnsi"/>
          <w:lang w:val="es-ES"/>
        </w:rPr>
        <w:t xml:space="preserve"> proyecto</w:t>
      </w:r>
      <w:r w:rsidRPr="00985B97">
        <w:rPr>
          <w:rFonts w:asciiTheme="majorHAnsi" w:hAnsiTheme="majorHAnsi" w:cstheme="majorHAnsi"/>
          <w:lang w:val="es-ES"/>
        </w:rPr>
        <w:t>s</w:t>
      </w:r>
      <w:r w:rsidR="000F3B98" w:rsidRPr="00985B97">
        <w:rPr>
          <w:rFonts w:asciiTheme="majorHAnsi" w:hAnsiTheme="majorHAnsi" w:cstheme="majorHAnsi"/>
          <w:lang w:val="es-ES"/>
        </w:rPr>
        <w:t xml:space="preserve"> se hunda</w:t>
      </w:r>
      <w:r w:rsidRPr="00985B97">
        <w:rPr>
          <w:rFonts w:asciiTheme="majorHAnsi" w:hAnsiTheme="majorHAnsi" w:cstheme="majorHAnsi"/>
          <w:lang w:val="es-ES"/>
        </w:rPr>
        <w:t>n</w:t>
      </w:r>
      <w:r w:rsidR="000F3B98" w:rsidRPr="00985B97">
        <w:rPr>
          <w:rFonts w:asciiTheme="majorHAnsi" w:hAnsiTheme="majorHAnsi" w:cstheme="majorHAnsi"/>
          <w:lang w:val="es-ES"/>
        </w:rPr>
        <w:t xml:space="preserve"> sin necesidad de </w:t>
      </w:r>
      <w:r w:rsidRPr="00985B97">
        <w:rPr>
          <w:rFonts w:asciiTheme="majorHAnsi" w:hAnsiTheme="majorHAnsi" w:cstheme="majorHAnsi"/>
          <w:lang w:val="es-ES"/>
        </w:rPr>
        <w:t>ninguna votación</w:t>
      </w:r>
      <w:r w:rsidR="000F3B98" w:rsidRPr="00985B97">
        <w:rPr>
          <w:rFonts w:asciiTheme="majorHAnsi" w:hAnsiTheme="majorHAnsi" w:cstheme="majorHAnsi"/>
          <w:lang w:val="es-ES"/>
        </w:rPr>
        <w:t xml:space="preserve"> (Congreso de la República, 1992). </w:t>
      </w:r>
      <w:r w:rsidRPr="00985B97">
        <w:rPr>
          <w:rFonts w:asciiTheme="majorHAnsi" w:hAnsiTheme="majorHAnsi" w:cstheme="majorHAnsi"/>
          <w:lang w:val="es-ES"/>
        </w:rPr>
        <w:t>De esta forma, el p</w:t>
      </w:r>
      <w:r w:rsidR="000F3B98" w:rsidRPr="00985B97">
        <w:rPr>
          <w:rFonts w:asciiTheme="majorHAnsi" w:hAnsiTheme="majorHAnsi" w:cstheme="majorHAnsi"/>
          <w:lang w:val="es-ES"/>
        </w:rPr>
        <w:t xml:space="preserve">royecto </w:t>
      </w:r>
      <w:r w:rsidR="000F3B98" w:rsidRPr="00985B97">
        <w:rPr>
          <w:rFonts w:asciiTheme="majorHAnsi" w:hAnsiTheme="majorHAnsi" w:cstheme="majorHAnsi"/>
          <w:lang w:val="es-ES"/>
        </w:rPr>
        <w:lastRenderedPageBreak/>
        <w:t xml:space="preserve">de Ley 187 de 2023, que buscaba ampliar la cobertura de subsidios al consumo de gas licuado del petróleo (GLP) en cilindros para hogares de estratos 1 y 2 en </w:t>
      </w:r>
      <w:r w:rsidRPr="00985B97">
        <w:rPr>
          <w:rFonts w:asciiTheme="majorHAnsi" w:hAnsiTheme="majorHAnsi" w:cstheme="majorHAnsi"/>
          <w:lang w:val="es-ES"/>
        </w:rPr>
        <w:t>12</w:t>
      </w:r>
      <w:r w:rsidR="000F3B98" w:rsidRPr="00985B97">
        <w:rPr>
          <w:rFonts w:asciiTheme="majorHAnsi" w:hAnsiTheme="majorHAnsi" w:cstheme="majorHAnsi"/>
          <w:lang w:val="es-ES"/>
        </w:rPr>
        <w:t xml:space="preserve"> departamentos</w:t>
      </w:r>
      <w:r w:rsidRPr="00985B97">
        <w:rPr>
          <w:rFonts w:asciiTheme="majorHAnsi" w:hAnsiTheme="majorHAnsi" w:cstheme="majorHAnsi"/>
          <w:lang w:val="es-ES"/>
        </w:rPr>
        <w:t xml:space="preserve">, fue </w:t>
      </w:r>
      <w:r w:rsidR="000F3B98" w:rsidRPr="00985B97">
        <w:rPr>
          <w:rFonts w:asciiTheme="majorHAnsi" w:hAnsiTheme="majorHAnsi" w:cstheme="majorHAnsi"/>
          <w:lang w:val="es-ES"/>
        </w:rPr>
        <w:t xml:space="preserve">radicado el 18 de octubre de 2023 </w:t>
      </w:r>
      <w:r w:rsidRPr="00985B97">
        <w:rPr>
          <w:rFonts w:asciiTheme="majorHAnsi" w:hAnsiTheme="majorHAnsi" w:cstheme="majorHAnsi"/>
          <w:lang w:val="es-ES"/>
        </w:rPr>
        <w:t>en</w:t>
      </w:r>
      <w:r w:rsidR="000F3B98" w:rsidRPr="00985B97">
        <w:rPr>
          <w:rFonts w:asciiTheme="majorHAnsi" w:hAnsiTheme="majorHAnsi" w:cstheme="majorHAnsi"/>
          <w:lang w:val="es-ES"/>
        </w:rPr>
        <w:t xml:space="preserve"> la Comisión Quinta de Senado, su trámite se extinguió por vencimiento de términos con </w:t>
      </w:r>
      <w:r w:rsidRPr="00985B97">
        <w:rPr>
          <w:rFonts w:asciiTheme="majorHAnsi" w:hAnsiTheme="majorHAnsi" w:cstheme="majorHAnsi"/>
          <w:lang w:val="es-ES"/>
        </w:rPr>
        <w:t>base</w:t>
      </w:r>
      <w:r w:rsidR="000F3B98" w:rsidRPr="00985B97">
        <w:rPr>
          <w:rFonts w:asciiTheme="majorHAnsi" w:hAnsiTheme="majorHAnsi" w:cstheme="majorHAnsi"/>
          <w:lang w:val="es-ES"/>
        </w:rPr>
        <w:t xml:space="preserve"> en el artículo 162 de la Constitución y el artículo 190 de la Ley 5 de 1992 (Cámara de Representantes, 2025; Senado de la República, 2023).</w:t>
      </w:r>
    </w:p>
    <w:p w14:paraId="57084461" w14:textId="77777777" w:rsidR="00D97E59" w:rsidRPr="00985B97" w:rsidRDefault="00D97E59"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De esta forma</w:t>
      </w:r>
      <w:r w:rsidR="000F3B98" w:rsidRPr="00985B97">
        <w:rPr>
          <w:rFonts w:asciiTheme="majorHAnsi" w:hAnsiTheme="majorHAnsi" w:cstheme="majorHAnsi"/>
          <w:lang w:val="es-ES"/>
        </w:rPr>
        <w:t>, de los 40 proyectos de ley relacionados con minería e hidrocarburos que se tramitaron durante la legislatura 2023-2024, 29 (72,5 %) fueron archivados o retirados, ninguno culminó su trámite dentro del corte de seguimiento, 3 pasaron a sanción presidencial y únicamente 8 continuaron su curso hacia la legislatura siguiente (C</w:t>
      </w:r>
      <w:r w:rsidRPr="00985B97">
        <w:rPr>
          <w:rFonts w:asciiTheme="majorHAnsi" w:hAnsiTheme="majorHAnsi" w:cstheme="majorHAnsi"/>
          <w:lang w:val="es-ES"/>
        </w:rPr>
        <w:t>AMPETROL</w:t>
      </w:r>
      <w:r w:rsidR="000F3B98" w:rsidRPr="00985B97">
        <w:rPr>
          <w:rFonts w:asciiTheme="majorHAnsi" w:hAnsiTheme="majorHAnsi" w:cstheme="majorHAnsi"/>
          <w:lang w:val="es-ES"/>
        </w:rPr>
        <w:t xml:space="preserve">, 2024). </w:t>
      </w:r>
      <w:r w:rsidRPr="00985B97">
        <w:rPr>
          <w:rFonts w:asciiTheme="majorHAnsi" w:hAnsiTheme="majorHAnsi" w:cstheme="majorHAnsi"/>
          <w:lang w:val="es-ES"/>
        </w:rPr>
        <w:t>D</w:t>
      </w:r>
      <w:r w:rsidR="000F3B98" w:rsidRPr="00985B97">
        <w:rPr>
          <w:rFonts w:asciiTheme="majorHAnsi" w:hAnsiTheme="majorHAnsi" w:cstheme="majorHAnsi"/>
          <w:lang w:val="es-ES"/>
        </w:rPr>
        <w:t xml:space="preserve">e acuerdo con la firma de monitoreo Orza, la tasa de efectividad legislativa del </w:t>
      </w:r>
      <w:r w:rsidR="001D4B0A" w:rsidRPr="00985B97">
        <w:rPr>
          <w:rFonts w:asciiTheme="majorHAnsi" w:hAnsiTheme="majorHAnsi" w:cstheme="majorHAnsi"/>
          <w:lang w:val="es-ES"/>
        </w:rPr>
        <w:t>ejecutivo</w:t>
      </w:r>
      <w:r w:rsidR="000F3B98" w:rsidRPr="00985B97">
        <w:rPr>
          <w:rFonts w:asciiTheme="majorHAnsi" w:hAnsiTheme="majorHAnsi" w:cstheme="majorHAnsi"/>
          <w:lang w:val="es-ES"/>
        </w:rPr>
        <w:t xml:space="preserve"> nacional</w:t>
      </w:r>
      <w:r w:rsidRPr="00985B97">
        <w:rPr>
          <w:rFonts w:asciiTheme="majorHAnsi" w:hAnsiTheme="majorHAnsi" w:cstheme="majorHAnsi"/>
          <w:lang w:val="es-ES"/>
        </w:rPr>
        <w:t xml:space="preserve">, es decir, la </w:t>
      </w:r>
      <w:r w:rsidR="000F3B98" w:rsidRPr="00985B97">
        <w:rPr>
          <w:rFonts w:asciiTheme="majorHAnsi" w:hAnsiTheme="majorHAnsi" w:cstheme="majorHAnsi"/>
          <w:lang w:val="es-ES"/>
        </w:rPr>
        <w:t xml:space="preserve">proporción de proyectos radicados por el Gobierno </w:t>
      </w:r>
      <w:r w:rsidRPr="00985B97">
        <w:rPr>
          <w:rFonts w:asciiTheme="majorHAnsi" w:hAnsiTheme="majorHAnsi" w:cstheme="majorHAnsi"/>
          <w:lang w:val="es-ES"/>
        </w:rPr>
        <w:t xml:space="preserve">que </w:t>
      </w:r>
      <w:r w:rsidR="000F3B98" w:rsidRPr="00985B97">
        <w:rPr>
          <w:rFonts w:asciiTheme="majorHAnsi" w:hAnsiTheme="majorHAnsi" w:cstheme="majorHAnsi"/>
          <w:lang w:val="es-ES"/>
        </w:rPr>
        <w:t>se convirtieron en ley</w:t>
      </w:r>
      <w:r w:rsidRPr="00985B97">
        <w:rPr>
          <w:rFonts w:asciiTheme="majorHAnsi" w:hAnsiTheme="majorHAnsi" w:cstheme="majorHAnsi"/>
          <w:lang w:val="es-ES"/>
        </w:rPr>
        <w:t>,</w:t>
      </w:r>
      <w:r w:rsidR="000F3B98" w:rsidRPr="00985B97">
        <w:rPr>
          <w:rFonts w:asciiTheme="majorHAnsi" w:hAnsiTheme="majorHAnsi" w:cstheme="majorHAnsi"/>
          <w:lang w:val="es-ES"/>
        </w:rPr>
        <w:t xml:space="preserve"> </w:t>
      </w:r>
      <w:r w:rsidRPr="00985B97">
        <w:rPr>
          <w:rFonts w:asciiTheme="majorHAnsi" w:hAnsiTheme="majorHAnsi" w:cstheme="majorHAnsi"/>
          <w:lang w:val="es-ES"/>
        </w:rPr>
        <w:t>bajó</w:t>
      </w:r>
      <w:r w:rsidR="000F3B98" w:rsidRPr="00985B97">
        <w:rPr>
          <w:rFonts w:asciiTheme="majorHAnsi" w:hAnsiTheme="majorHAnsi" w:cstheme="majorHAnsi"/>
          <w:lang w:val="es-ES"/>
        </w:rPr>
        <w:t xml:space="preserve"> de 33,3 % en la primera legislatura (2022-2023) a 22,6 % en la tercera (2024-2025) y </w:t>
      </w:r>
      <w:r w:rsidRPr="00985B97">
        <w:rPr>
          <w:rFonts w:asciiTheme="majorHAnsi" w:hAnsiTheme="majorHAnsi" w:cstheme="majorHAnsi"/>
          <w:lang w:val="es-ES"/>
        </w:rPr>
        <w:t xml:space="preserve">cayó a </w:t>
      </w:r>
      <w:r w:rsidR="000F3B98" w:rsidRPr="00985B97">
        <w:rPr>
          <w:rFonts w:asciiTheme="majorHAnsi" w:hAnsiTheme="majorHAnsi" w:cstheme="majorHAnsi"/>
          <w:lang w:val="es-ES"/>
        </w:rPr>
        <w:t>4,5 % en la cuarta y última legislatura (2025-2026) (El País, 2026; Vanguardia, 2025).</w:t>
      </w:r>
      <w:r w:rsidRPr="00985B97">
        <w:rPr>
          <w:rFonts w:asciiTheme="majorHAnsi" w:hAnsiTheme="majorHAnsi" w:cstheme="majorHAnsi"/>
          <w:lang w:val="es-ES"/>
        </w:rPr>
        <w:t xml:space="preserve"> Por otro lado,</w:t>
      </w:r>
      <w:r w:rsidR="000F3B98" w:rsidRPr="00985B97">
        <w:rPr>
          <w:rFonts w:asciiTheme="majorHAnsi" w:hAnsiTheme="majorHAnsi" w:cstheme="majorHAnsi"/>
          <w:lang w:val="es-ES"/>
        </w:rPr>
        <w:t xml:space="preserve"> la tasa de aprobación de las iniciativas d</w:t>
      </w:r>
      <w:r w:rsidRPr="00985B97">
        <w:rPr>
          <w:rFonts w:asciiTheme="majorHAnsi" w:hAnsiTheme="majorHAnsi" w:cstheme="majorHAnsi"/>
          <w:lang w:val="es-ES"/>
        </w:rPr>
        <w:t xml:space="preserve">el legislativo </w:t>
      </w:r>
      <w:r w:rsidR="000F3B98" w:rsidRPr="00985B97">
        <w:rPr>
          <w:rFonts w:asciiTheme="majorHAnsi" w:hAnsiTheme="majorHAnsi" w:cstheme="majorHAnsi"/>
          <w:lang w:val="es-ES"/>
        </w:rPr>
        <w:t>cayó del 18,2 % en 2022-2023 al 1,4 % en 2025-2026, con 623 de 795 proyectos archivados solo en el último periodo (El Colombiano, 2026).</w:t>
      </w:r>
    </w:p>
    <w:p w14:paraId="73341C2B" w14:textId="77777777" w:rsidR="000F3B98" w:rsidRPr="00985B97" w:rsidRDefault="00D97E59"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Lo anterior muestra que existe una</w:t>
      </w:r>
      <w:r w:rsidR="000F3B98" w:rsidRPr="00985B97">
        <w:rPr>
          <w:rFonts w:asciiTheme="majorHAnsi" w:hAnsiTheme="majorHAnsi" w:cstheme="majorHAnsi"/>
          <w:lang w:val="es-ES"/>
        </w:rPr>
        <w:t xml:space="preserve"> </w:t>
      </w:r>
      <w:r w:rsidRPr="00985B97">
        <w:rPr>
          <w:rFonts w:asciiTheme="majorHAnsi" w:hAnsiTheme="majorHAnsi" w:cstheme="majorHAnsi"/>
          <w:lang w:val="es-ES"/>
        </w:rPr>
        <w:t xml:space="preserve">diferencia entre la </w:t>
      </w:r>
      <w:r w:rsidR="000F3B98" w:rsidRPr="00985B97">
        <w:rPr>
          <w:rFonts w:asciiTheme="majorHAnsi" w:hAnsiTheme="majorHAnsi" w:cstheme="majorHAnsi"/>
          <w:lang w:val="es-ES"/>
        </w:rPr>
        <w:t xml:space="preserve">tasa de éxito del </w:t>
      </w:r>
      <w:r w:rsidR="001D4B0A" w:rsidRPr="00985B97">
        <w:rPr>
          <w:rFonts w:asciiTheme="majorHAnsi" w:hAnsiTheme="majorHAnsi" w:cstheme="majorHAnsi"/>
          <w:lang w:val="es-ES"/>
        </w:rPr>
        <w:t>ejecutivo</w:t>
      </w:r>
      <w:r w:rsidR="000F3B98" w:rsidRPr="00985B97">
        <w:rPr>
          <w:rFonts w:asciiTheme="majorHAnsi" w:hAnsiTheme="majorHAnsi" w:cstheme="majorHAnsi"/>
          <w:lang w:val="es-ES"/>
        </w:rPr>
        <w:t xml:space="preserve"> y la del </w:t>
      </w:r>
      <w:r w:rsidR="001D4B0A" w:rsidRPr="00985B97">
        <w:rPr>
          <w:rFonts w:asciiTheme="majorHAnsi" w:hAnsiTheme="majorHAnsi" w:cstheme="majorHAnsi"/>
          <w:lang w:val="es-ES"/>
        </w:rPr>
        <w:t>legislativo</w:t>
      </w:r>
      <w:r w:rsidR="000F3B98" w:rsidRPr="00985B97">
        <w:rPr>
          <w:rFonts w:asciiTheme="majorHAnsi" w:hAnsiTheme="majorHAnsi" w:cstheme="majorHAnsi"/>
          <w:lang w:val="es-ES"/>
        </w:rPr>
        <w:t xml:space="preserve"> </w:t>
      </w:r>
      <w:r w:rsidRPr="00985B97">
        <w:rPr>
          <w:rFonts w:asciiTheme="majorHAnsi" w:hAnsiTheme="majorHAnsi" w:cstheme="majorHAnsi"/>
          <w:lang w:val="es-ES"/>
        </w:rPr>
        <w:t xml:space="preserve">del </w:t>
      </w:r>
      <w:r w:rsidR="000F3B98" w:rsidRPr="00985B97">
        <w:rPr>
          <w:rFonts w:asciiTheme="majorHAnsi" w:hAnsiTheme="majorHAnsi" w:cstheme="majorHAnsi"/>
          <w:lang w:val="es-ES"/>
        </w:rPr>
        <w:t xml:space="preserve">54 % frente a 10 % en el período 1974-2004 (Pachón, 2005) y 66 % frente a 17 % entre 1998 y 2014 (Carroll &amp; Pachón, 2016), </w:t>
      </w:r>
      <w:r w:rsidRPr="00985B97">
        <w:rPr>
          <w:rFonts w:asciiTheme="majorHAnsi" w:hAnsiTheme="majorHAnsi" w:cstheme="majorHAnsi"/>
          <w:lang w:val="es-ES"/>
        </w:rPr>
        <w:t>que puede indicar</w:t>
      </w:r>
      <w:r w:rsidR="000F3B98" w:rsidRPr="00985B97">
        <w:rPr>
          <w:rFonts w:asciiTheme="majorHAnsi" w:hAnsiTheme="majorHAnsi" w:cstheme="majorHAnsi"/>
          <w:lang w:val="es-ES"/>
        </w:rPr>
        <w:t xml:space="preserve"> que los costos de transacción legislativa constituyen una restricción estructural del sistema político colombiano, y no una anomalía coyuntural del sector energético o del gobierno de turno. Esta persistencia histórica</w:t>
      </w:r>
      <w:r w:rsidRPr="00985B97">
        <w:rPr>
          <w:rFonts w:asciiTheme="majorHAnsi" w:hAnsiTheme="majorHAnsi" w:cstheme="majorHAnsi"/>
          <w:lang w:val="es-ES"/>
        </w:rPr>
        <w:t xml:space="preserve"> hace muy difícil que en el plano real se puedan</w:t>
      </w:r>
      <w:r w:rsidR="000F3B98" w:rsidRPr="00985B97">
        <w:rPr>
          <w:rFonts w:asciiTheme="majorHAnsi" w:hAnsiTheme="majorHAnsi" w:cstheme="majorHAnsi"/>
          <w:lang w:val="es-ES"/>
        </w:rPr>
        <w:t xml:space="preserve"> garantizar procesos legislativos eficientes cuando no </w:t>
      </w:r>
      <w:r w:rsidR="00BE7741" w:rsidRPr="00985B97">
        <w:rPr>
          <w:rFonts w:asciiTheme="majorHAnsi" w:hAnsiTheme="majorHAnsi" w:cstheme="majorHAnsi"/>
          <w:lang w:val="es-ES"/>
        </w:rPr>
        <w:t>existen</w:t>
      </w:r>
      <w:r w:rsidR="000F3B98" w:rsidRPr="00985B97">
        <w:rPr>
          <w:rFonts w:asciiTheme="majorHAnsi" w:hAnsiTheme="majorHAnsi" w:cstheme="majorHAnsi"/>
          <w:lang w:val="es-ES"/>
        </w:rPr>
        <w:t xml:space="preserve"> de mecanismos institucionalizados de coordinación programática.</w:t>
      </w:r>
    </w:p>
    <w:p w14:paraId="3129A325" w14:textId="77777777" w:rsidR="000F3B98" w:rsidRPr="00985B97" w:rsidRDefault="000F3B98" w:rsidP="00985B97">
      <w:pPr>
        <w:pStyle w:val="Ttulo3"/>
        <w:rPr>
          <w:rFonts w:asciiTheme="majorHAnsi" w:hAnsiTheme="majorHAnsi" w:cstheme="majorHAnsi"/>
          <w:sz w:val="22"/>
          <w:szCs w:val="22"/>
          <w:lang w:val="es-ES"/>
        </w:rPr>
      </w:pPr>
      <w:bookmarkStart w:id="158" w:name="_Toc235092564"/>
      <w:bookmarkStart w:id="159" w:name="_Toc235108008"/>
      <w:r w:rsidRPr="00985B97">
        <w:rPr>
          <w:rFonts w:asciiTheme="majorHAnsi" w:hAnsiTheme="majorHAnsi" w:cstheme="majorHAnsi"/>
          <w:sz w:val="22"/>
          <w:szCs w:val="22"/>
          <w:lang w:val="es-ES"/>
        </w:rPr>
        <w:t xml:space="preserve">1.1.3 Avances normativos en </w:t>
      </w:r>
      <w:r w:rsidR="00CD0C90" w:rsidRPr="00985B97">
        <w:rPr>
          <w:rFonts w:asciiTheme="majorHAnsi" w:hAnsiTheme="majorHAnsi" w:cstheme="majorHAnsi"/>
          <w:sz w:val="22"/>
          <w:szCs w:val="22"/>
          <w:lang w:val="es-ES"/>
        </w:rPr>
        <w:t xml:space="preserve">la </w:t>
      </w:r>
      <w:r w:rsidRPr="00985B97">
        <w:rPr>
          <w:rFonts w:asciiTheme="majorHAnsi" w:hAnsiTheme="majorHAnsi" w:cstheme="majorHAnsi"/>
          <w:sz w:val="22"/>
          <w:szCs w:val="22"/>
          <w:lang w:val="es-ES"/>
        </w:rPr>
        <w:t>transición energética justa</w:t>
      </w:r>
      <w:bookmarkEnd w:id="158"/>
      <w:bookmarkEnd w:id="159"/>
    </w:p>
    <w:p w14:paraId="2564904B" w14:textId="77777777" w:rsidR="000F3B98" w:rsidRPr="00985B97" w:rsidRDefault="000F3B98"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A pesar de estos costos de transacción, el período reciente registra avances normativos relevantes en materia de TEJ, aunque con una implementación desigual que ilustra precisamente la fragilidad del anclaje legislativo de la política. El Consejo Nacional de Política Económica y Social aprobó el CONPES 4075 de 2020, que estableció la política marco de transición energética como hoja de ruta programática, sin fuerza </w:t>
      </w:r>
      <w:r w:rsidRPr="00985B97">
        <w:rPr>
          <w:rFonts w:asciiTheme="majorHAnsi" w:hAnsiTheme="majorHAnsi" w:cstheme="majorHAnsi"/>
          <w:lang w:val="es-ES"/>
        </w:rPr>
        <w:lastRenderedPageBreak/>
        <w:t>de ley (Departamento Nacional de Planeación, 2020). Posteriormente, el artículo 235 de la Ley 2294 de 2023 —por la cual se expidió el Plan Nacional de Desarrollo 2022-2026— modificó el artículo 5 de la Ley 1715 de 2014 para crear la figura de las Comunidades Energéticas, asignando a la Unidad de Planeación Minero-Energética (UPME) la definición de parámetros de capacidad, a la Comisión de Regulación de Energía y Gas (CREG) la regulación de la prestación del servicio, y a la Superintendencia de Servicios Públicos Domiciliarios la vigilancia (Congreso de la República, 2023). Sin embargo, la operatividad de esta figura quedó sujeta a reglamentación posterior: el Decreto 2236 de 2023</w:t>
      </w:r>
      <w:r w:rsidR="00CB05B6" w:rsidRPr="00985B97">
        <w:rPr>
          <w:rFonts w:asciiTheme="majorHAnsi" w:hAnsiTheme="majorHAnsi" w:cstheme="majorHAnsi"/>
          <w:lang w:val="es-ES"/>
        </w:rPr>
        <w:t xml:space="preserve">, </w:t>
      </w:r>
      <w:r w:rsidRPr="00985B97">
        <w:rPr>
          <w:rFonts w:asciiTheme="majorHAnsi" w:hAnsiTheme="majorHAnsi" w:cstheme="majorHAnsi"/>
          <w:lang w:val="es-ES"/>
        </w:rPr>
        <w:t>que adicionó el Decreto 1073 de 2015 y ordenó la creación del Registro Único de Comunidades Energéticas (RUCE), administrado por la Dirección de Energía Eléctrica del MM</w:t>
      </w:r>
      <w:r w:rsidR="00CB05B6" w:rsidRPr="00985B97">
        <w:rPr>
          <w:rFonts w:asciiTheme="majorHAnsi" w:hAnsiTheme="majorHAnsi" w:cstheme="majorHAnsi"/>
          <w:lang w:val="es-ES"/>
        </w:rPr>
        <w:t>,</w:t>
      </w:r>
      <w:r w:rsidRPr="00985B97">
        <w:rPr>
          <w:rFonts w:asciiTheme="majorHAnsi" w:hAnsiTheme="majorHAnsi" w:cstheme="majorHAnsi"/>
          <w:lang w:val="es-ES"/>
        </w:rPr>
        <w:t xml:space="preserve"> tuvo que ser corregido mediante el Decreto 0273 de 2024, evidenciando dificultades de coordinación técnica entre el nivel legal y el nivel reglamentario (Ministerio de Minas y Energía, 2023, 2024).</w:t>
      </w:r>
    </w:p>
    <w:p w14:paraId="1E005C86" w14:textId="77777777" w:rsidR="000F3B98" w:rsidRPr="00985B97" w:rsidRDefault="000F3B98"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En 2025, el MME formalizó la Hoja de Ruta para la Transición Energética Justa, estructurada en cuatro líneas estratégicas</w:t>
      </w:r>
      <w:r w:rsidR="00CB05B6" w:rsidRPr="00985B97">
        <w:rPr>
          <w:rFonts w:asciiTheme="majorHAnsi" w:hAnsiTheme="majorHAnsi" w:cstheme="majorHAnsi"/>
          <w:lang w:val="es-ES"/>
        </w:rPr>
        <w:t xml:space="preserve">, a saber: </w:t>
      </w:r>
      <w:r w:rsidRPr="00985B97">
        <w:rPr>
          <w:rFonts w:asciiTheme="majorHAnsi" w:hAnsiTheme="majorHAnsi" w:cstheme="majorHAnsi"/>
          <w:lang w:val="es-ES"/>
        </w:rPr>
        <w:t>democratización de la energía, despliegue a gran escala de fuentes no convencionales, energía en firme y modernización del mercado</w:t>
      </w:r>
      <w:r w:rsidR="00CB05B6" w:rsidRPr="00985B97">
        <w:rPr>
          <w:rFonts w:asciiTheme="majorHAnsi" w:hAnsiTheme="majorHAnsi" w:cstheme="majorHAnsi"/>
          <w:lang w:val="es-ES"/>
        </w:rPr>
        <w:t>. Esta ruta tenía</w:t>
      </w:r>
      <w:r w:rsidRPr="00985B97">
        <w:rPr>
          <w:rFonts w:asciiTheme="majorHAnsi" w:hAnsiTheme="majorHAnsi" w:cstheme="majorHAnsi"/>
          <w:lang w:val="es-ES"/>
        </w:rPr>
        <w:t xml:space="preserve"> la meta de quintuplicar la capacidad instalada de fuentes no convencionales de energía renovable (FNCER) hacia el final de la década (Ministerio de Minas y Energía, 2025). El seguimiento oficial del denominado Plan 6GW+, liderado por la UPME, reportaba una capacidad instalada acumulada de 4.619,11 MW en proyectos de FNCER, de los cuales 3.384,56 MW se encontraban en operación comercial y 1.234,55 MW en fase de pruebas (UPME], 2026), </w:t>
      </w:r>
      <w:r w:rsidR="00CB05B6" w:rsidRPr="00985B97">
        <w:rPr>
          <w:rFonts w:asciiTheme="majorHAnsi" w:hAnsiTheme="majorHAnsi" w:cstheme="majorHAnsi"/>
          <w:lang w:val="es-ES"/>
        </w:rPr>
        <w:t xml:space="preserve">lo que se </w:t>
      </w:r>
      <w:r w:rsidRPr="00985B97">
        <w:rPr>
          <w:rFonts w:asciiTheme="majorHAnsi" w:hAnsiTheme="majorHAnsi" w:cstheme="majorHAnsi"/>
          <w:lang w:val="es-ES"/>
        </w:rPr>
        <w:t xml:space="preserve">traduce en una participación del 15,64 % de estas fuentes en la matriz de generación eléctrica nacional (Ministerio de Minas y Energía, 2026). </w:t>
      </w:r>
    </w:p>
    <w:p w14:paraId="0EEA3AE7" w14:textId="77777777" w:rsidR="000F3B98" w:rsidRPr="00985B97" w:rsidRDefault="00CB05B6"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No obstante, existe una</w:t>
      </w:r>
      <w:r w:rsidR="000F3B98" w:rsidRPr="00985B97">
        <w:rPr>
          <w:rFonts w:asciiTheme="majorHAnsi" w:hAnsiTheme="majorHAnsi" w:cstheme="majorHAnsi"/>
          <w:lang w:val="es-ES"/>
        </w:rPr>
        <w:t xml:space="preserve"> </w:t>
      </w:r>
      <w:r w:rsidRPr="00985B97">
        <w:rPr>
          <w:rFonts w:asciiTheme="majorHAnsi" w:hAnsiTheme="majorHAnsi" w:cstheme="majorHAnsi"/>
          <w:lang w:val="es-ES"/>
        </w:rPr>
        <w:t>debilidad</w:t>
      </w:r>
      <w:r w:rsidR="000F3B98" w:rsidRPr="00985B97">
        <w:rPr>
          <w:rFonts w:asciiTheme="majorHAnsi" w:hAnsiTheme="majorHAnsi" w:cstheme="majorHAnsi"/>
          <w:lang w:val="es-ES"/>
        </w:rPr>
        <w:t xml:space="preserve"> del anclaje legislativo </w:t>
      </w:r>
      <w:r w:rsidRPr="00985B97">
        <w:rPr>
          <w:rFonts w:asciiTheme="majorHAnsi" w:hAnsiTheme="majorHAnsi" w:cstheme="majorHAnsi"/>
          <w:lang w:val="es-ES"/>
        </w:rPr>
        <w:t>frente a</w:t>
      </w:r>
      <w:r w:rsidR="000F3B98" w:rsidRPr="00985B97">
        <w:rPr>
          <w:rFonts w:asciiTheme="majorHAnsi" w:hAnsiTheme="majorHAnsi" w:cstheme="majorHAnsi"/>
          <w:lang w:val="es-ES"/>
        </w:rPr>
        <w:t xml:space="preserve"> estos avances </w:t>
      </w:r>
      <w:r w:rsidRPr="00985B97">
        <w:rPr>
          <w:rFonts w:asciiTheme="majorHAnsi" w:hAnsiTheme="majorHAnsi" w:cstheme="majorHAnsi"/>
          <w:lang w:val="es-ES"/>
        </w:rPr>
        <w:t xml:space="preserve">que se hace más notable, por ejemplo, </w:t>
      </w:r>
      <w:r w:rsidR="000F3B98" w:rsidRPr="00985B97">
        <w:rPr>
          <w:rFonts w:asciiTheme="majorHAnsi" w:hAnsiTheme="majorHAnsi" w:cstheme="majorHAnsi"/>
          <w:lang w:val="es-ES"/>
        </w:rPr>
        <w:t>en el trámite del proyecto que garantizaba el acceso al servicio público domiciliario de gas combustible por redes en viviendas de interés social y prioritario (Proyecto de Ley 231 de 2022 Senado – 349 de 2024 Cámara). Aunque el Senado y la Cámara de Representantes aprobaron el texto el 18 de junio de 2024, el presidente de la República objetó el proyecto el 12 de julio de 2024 por razones de inconstitucionalidad asociadas al Marco Fiscal de Mediano y Largo Plazo (Infobae, 2024). Est</w:t>
      </w:r>
      <w:r w:rsidRPr="00985B97">
        <w:rPr>
          <w:rFonts w:asciiTheme="majorHAnsi" w:hAnsiTheme="majorHAnsi" w:cstheme="majorHAnsi"/>
          <w:lang w:val="es-ES"/>
        </w:rPr>
        <w:t xml:space="preserve">o muestra que, </w:t>
      </w:r>
      <w:r w:rsidR="000F3B98" w:rsidRPr="00985B97">
        <w:rPr>
          <w:rFonts w:asciiTheme="majorHAnsi" w:hAnsiTheme="majorHAnsi" w:cstheme="majorHAnsi"/>
          <w:lang w:val="es-ES"/>
        </w:rPr>
        <w:t xml:space="preserve">incluso cuando el Congreso logra superar el </w:t>
      </w:r>
      <w:proofErr w:type="spellStart"/>
      <w:r w:rsidR="000F3B98" w:rsidRPr="00985B97">
        <w:rPr>
          <w:rFonts w:asciiTheme="majorHAnsi" w:hAnsiTheme="majorHAnsi" w:cstheme="majorHAnsi"/>
          <w:lang w:val="es-ES"/>
        </w:rPr>
        <w:t>gatekeeping</w:t>
      </w:r>
      <w:proofErr w:type="spellEnd"/>
      <w:r w:rsidR="000F3B98" w:rsidRPr="00985B97">
        <w:rPr>
          <w:rFonts w:asciiTheme="majorHAnsi" w:hAnsiTheme="majorHAnsi" w:cstheme="majorHAnsi"/>
          <w:lang w:val="es-ES"/>
        </w:rPr>
        <w:t xml:space="preserve"> de comisiones y aprobar una iniciativa alineada con los objetivos de </w:t>
      </w:r>
      <w:r w:rsidRPr="00985B97">
        <w:rPr>
          <w:rFonts w:asciiTheme="majorHAnsi" w:hAnsiTheme="majorHAnsi" w:cstheme="majorHAnsi"/>
          <w:lang w:val="es-ES"/>
        </w:rPr>
        <w:t>la TEJ</w:t>
      </w:r>
      <w:r w:rsidR="000F3B98" w:rsidRPr="00985B97">
        <w:rPr>
          <w:rFonts w:asciiTheme="majorHAnsi" w:hAnsiTheme="majorHAnsi" w:cstheme="majorHAnsi"/>
          <w:lang w:val="es-ES"/>
        </w:rPr>
        <w:t xml:space="preserve">, la ausencia de una coordinación técnica previa entre el equipo </w:t>
      </w:r>
      <w:r w:rsidR="000F3B98" w:rsidRPr="00985B97">
        <w:rPr>
          <w:rFonts w:asciiTheme="majorHAnsi" w:hAnsiTheme="majorHAnsi" w:cstheme="majorHAnsi"/>
          <w:lang w:val="es-ES"/>
        </w:rPr>
        <w:lastRenderedPageBreak/>
        <w:t>legislativo del MME, el Ministerio de Hacienda y la Presidencia puede frustrar el proceso</w:t>
      </w:r>
      <w:r w:rsidRPr="00985B97">
        <w:rPr>
          <w:rFonts w:asciiTheme="majorHAnsi" w:hAnsiTheme="majorHAnsi" w:cstheme="majorHAnsi"/>
          <w:lang w:val="es-ES"/>
        </w:rPr>
        <w:t xml:space="preserve"> en cualquier momento</w:t>
      </w:r>
      <w:r w:rsidR="000F3B98" w:rsidRPr="00985B97">
        <w:rPr>
          <w:rFonts w:asciiTheme="majorHAnsi" w:hAnsiTheme="majorHAnsi" w:cstheme="majorHAnsi"/>
          <w:lang w:val="es-ES"/>
        </w:rPr>
        <w:t xml:space="preserve">, evidenciando que los costos de transacción no </w:t>
      </w:r>
      <w:r w:rsidRPr="00985B97">
        <w:rPr>
          <w:rFonts w:asciiTheme="majorHAnsi" w:hAnsiTheme="majorHAnsi" w:cstheme="majorHAnsi"/>
          <w:lang w:val="es-ES"/>
        </w:rPr>
        <w:t>son únicos d</w:t>
      </w:r>
      <w:r w:rsidR="000F3B98" w:rsidRPr="00985B97">
        <w:rPr>
          <w:rFonts w:asciiTheme="majorHAnsi" w:hAnsiTheme="majorHAnsi" w:cstheme="majorHAnsi"/>
          <w:lang w:val="es-ES"/>
        </w:rPr>
        <w:t xml:space="preserve">el </w:t>
      </w:r>
      <w:proofErr w:type="gramStart"/>
      <w:r w:rsidRPr="00985B97">
        <w:rPr>
          <w:rFonts w:asciiTheme="majorHAnsi" w:hAnsiTheme="majorHAnsi" w:cstheme="majorHAnsi"/>
          <w:lang w:val="es-ES"/>
        </w:rPr>
        <w:t>l</w:t>
      </w:r>
      <w:r w:rsidR="000F3B98" w:rsidRPr="00985B97">
        <w:rPr>
          <w:rFonts w:asciiTheme="majorHAnsi" w:hAnsiTheme="majorHAnsi" w:cstheme="majorHAnsi"/>
          <w:lang w:val="es-ES"/>
        </w:rPr>
        <w:t>egislativo</w:t>
      </w:r>
      <w:proofErr w:type="gramEnd"/>
      <w:r w:rsidR="000F3B98" w:rsidRPr="00985B97">
        <w:rPr>
          <w:rFonts w:asciiTheme="majorHAnsi" w:hAnsiTheme="majorHAnsi" w:cstheme="majorHAnsi"/>
          <w:lang w:val="es-ES"/>
        </w:rPr>
        <w:t xml:space="preserve"> sino que atraviesan también la coordinación </w:t>
      </w:r>
      <w:proofErr w:type="spellStart"/>
      <w:r w:rsidR="000F3B98" w:rsidRPr="00985B97">
        <w:rPr>
          <w:rFonts w:asciiTheme="majorHAnsi" w:hAnsiTheme="majorHAnsi" w:cstheme="majorHAnsi"/>
          <w:lang w:val="es-ES"/>
        </w:rPr>
        <w:t>intraejecutiva</w:t>
      </w:r>
      <w:proofErr w:type="spellEnd"/>
      <w:r w:rsidR="000F3B98" w:rsidRPr="00985B97">
        <w:rPr>
          <w:rFonts w:asciiTheme="majorHAnsi" w:hAnsiTheme="majorHAnsi" w:cstheme="majorHAnsi"/>
          <w:lang w:val="es-ES"/>
        </w:rPr>
        <w:t xml:space="preserve">. </w:t>
      </w:r>
      <w:r w:rsidRPr="00985B97">
        <w:rPr>
          <w:rFonts w:asciiTheme="majorHAnsi" w:hAnsiTheme="majorHAnsi" w:cstheme="majorHAnsi"/>
          <w:lang w:val="es-ES"/>
        </w:rPr>
        <w:t>L</w:t>
      </w:r>
      <w:r w:rsidR="000F3B98" w:rsidRPr="00985B97">
        <w:rPr>
          <w:rFonts w:asciiTheme="majorHAnsi" w:hAnsiTheme="majorHAnsi" w:cstheme="majorHAnsi"/>
          <w:lang w:val="es-ES"/>
        </w:rPr>
        <w:t>a aprobación en primer debate de una reforma a las tarifas de energía y gas impulsada por una alianza de senadores oficialistas y de oposición</w:t>
      </w:r>
      <w:r w:rsidRPr="00985B97">
        <w:rPr>
          <w:rFonts w:asciiTheme="majorHAnsi" w:hAnsiTheme="majorHAnsi" w:cstheme="majorHAnsi"/>
          <w:lang w:val="es-ES"/>
        </w:rPr>
        <w:t xml:space="preserve">, una </w:t>
      </w:r>
      <w:r w:rsidR="000F3B98" w:rsidRPr="00985B97">
        <w:rPr>
          <w:rFonts w:asciiTheme="majorHAnsi" w:hAnsiTheme="majorHAnsi" w:cstheme="majorHAnsi"/>
          <w:lang w:val="es-ES"/>
        </w:rPr>
        <w:t xml:space="preserve">iniciativa que el Gobierno </w:t>
      </w:r>
      <w:r w:rsidRPr="00985B97">
        <w:rPr>
          <w:rFonts w:asciiTheme="majorHAnsi" w:hAnsiTheme="majorHAnsi" w:cstheme="majorHAnsi"/>
          <w:lang w:val="es-ES"/>
        </w:rPr>
        <w:t>no presentó formalmente, permite ver</w:t>
      </w:r>
      <w:r w:rsidR="000F3B98" w:rsidRPr="00985B97">
        <w:rPr>
          <w:rFonts w:asciiTheme="majorHAnsi" w:hAnsiTheme="majorHAnsi" w:cstheme="majorHAnsi"/>
          <w:lang w:val="es-ES"/>
        </w:rPr>
        <w:t xml:space="preserve"> cómo, ante la ausencia de una agenda ministerial proactiva</w:t>
      </w:r>
      <w:r w:rsidRPr="00985B97">
        <w:rPr>
          <w:rFonts w:asciiTheme="majorHAnsi" w:hAnsiTheme="majorHAnsi" w:cstheme="majorHAnsi"/>
          <w:lang w:val="es-ES"/>
        </w:rPr>
        <w:t xml:space="preserve">, </w:t>
      </w:r>
      <w:r w:rsidR="000F3B98" w:rsidRPr="00985B97">
        <w:rPr>
          <w:rFonts w:asciiTheme="majorHAnsi" w:hAnsiTheme="majorHAnsi" w:cstheme="majorHAnsi"/>
          <w:lang w:val="es-ES"/>
        </w:rPr>
        <w:t>sostenida</w:t>
      </w:r>
      <w:r w:rsidRPr="00985B97">
        <w:rPr>
          <w:rFonts w:asciiTheme="majorHAnsi" w:hAnsiTheme="majorHAnsi" w:cstheme="majorHAnsi"/>
          <w:lang w:val="es-ES"/>
        </w:rPr>
        <w:t xml:space="preserve"> y estratégica</w:t>
      </w:r>
      <w:r w:rsidR="000F3B98" w:rsidRPr="00985B97">
        <w:rPr>
          <w:rFonts w:asciiTheme="majorHAnsi" w:hAnsiTheme="majorHAnsi" w:cstheme="majorHAnsi"/>
          <w:lang w:val="es-ES"/>
        </w:rPr>
        <w:t>, el Congreso puede llegar a capturar la iniciativa regulatoria en asuntos sensibles para el sector, actuando con lógicas propias, desarticuladas de la hoja de ruta del MME (La Silla Vacía, 2025).</w:t>
      </w:r>
    </w:p>
    <w:p w14:paraId="4AE26890" w14:textId="77777777" w:rsidR="000F3B98" w:rsidRPr="00985B97" w:rsidRDefault="000F3B98" w:rsidP="00985B97">
      <w:pPr>
        <w:pStyle w:val="Ttulo3"/>
        <w:rPr>
          <w:rFonts w:asciiTheme="majorHAnsi" w:hAnsiTheme="majorHAnsi" w:cstheme="majorHAnsi"/>
          <w:sz w:val="22"/>
          <w:szCs w:val="22"/>
          <w:lang w:val="es-ES"/>
        </w:rPr>
      </w:pPr>
      <w:bookmarkStart w:id="160" w:name="_Toc235092565"/>
      <w:bookmarkStart w:id="161" w:name="_Toc235108009"/>
      <w:r w:rsidRPr="00985B97">
        <w:rPr>
          <w:rFonts w:asciiTheme="majorHAnsi" w:hAnsiTheme="majorHAnsi" w:cstheme="majorHAnsi"/>
          <w:sz w:val="22"/>
          <w:szCs w:val="22"/>
          <w:lang w:val="es-ES"/>
        </w:rPr>
        <w:t xml:space="preserve">1.1.4 Múltiples veto </w:t>
      </w:r>
      <w:proofErr w:type="spellStart"/>
      <w:r w:rsidRPr="00985B97">
        <w:rPr>
          <w:rFonts w:asciiTheme="majorHAnsi" w:hAnsiTheme="majorHAnsi" w:cstheme="majorHAnsi"/>
          <w:sz w:val="22"/>
          <w:szCs w:val="22"/>
          <w:lang w:val="es-ES"/>
        </w:rPr>
        <w:t>players</w:t>
      </w:r>
      <w:proofErr w:type="spellEnd"/>
      <w:r w:rsidR="00CD0C90" w:rsidRPr="00985B97">
        <w:rPr>
          <w:rFonts w:asciiTheme="majorHAnsi" w:hAnsiTheme="majorHAnsi" w:cstheme="majorHAnsi"/>
          <w:sz w:val="22"/>
          <w:szCs w:val="22"/>
          <w:lang w:val="es-ES"/>
        </w:rPr>
        <w:t xml:space="preserve"> y altos</w:t>
      </w:r>
      <w:r w:rsidRPr="00985B97">
        <w:rPr>
          <w:rFonts w:asciiTheme="majorHAnsi" w:hAnsiTheme="majorHAnsi" w:cstheme="majorHAnsi"/>
          <w:sz w:val="22"/>
          <w:szCs w:val="22"/>
          <w:lang w:val="es-ES"/>
        </w:rPr>
        <w:t xml:space="preserve"> costos de agencia</w:t>
      </w:r>
      <w:r w:rsidR="00CD0C90" w:rsidRPr="00985B97">
        <w:rPr>
          <w:rFonts w:asciiTheme="majorHAnsi" w:hAnsiTheme="majorHAnsi" w:cstheme="majorHAnsi"/>
          <w:sz w:val="22"/>
          <w:szCs w:val="22"/>
          <w:lang w:val="es-ES"/>
        </w:rPr>
        <w:t>miento</w:t>
      </w:r>
      <w:bookmarkEnd w:id="160"/>
      <w:bookmarkEnd w:id="161"/>
    </w:p>
    <w:p w14:paraId="6AD24270" w14:textId="77777777" w:rsidR="000F3B98" w:rsidRPr="00985B97" w:rsidRDefault="000F3B98"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El modelo colombiano</w:t>
      </w:r>
      <w:r w:rsidR="00096E74" w:rsidRPr="00985B97">
        <w:rPr>
          <w:rFonts w:asciiTheme="majorHAnsi" w:hAnsiTheme="majorHAnsi" w:cstheme="majorHAnsi"/>
          <w:lang w:val="es-ES"/>
        </w:rPr>
        <w:t xml:space="preserve"> de relacionamiento entre el ejecutivo y el legislativo</w:t>
      </w:r>
      <w:r w:rsidRPr="00985B97">
        <w:rPr>
          <w:rFonts w:asciiTheme="majorHAnsi" w:hAnsiTheme="majorHAnsi" w:cstheme="majorHAnsi"/>
          <w:lang w:val="es-ES"/>
        </w:rPr>
        <w:t xml:space="preserve"> puede </w:t>
      </w:r>
      <w:r w:rsidR="00096E74" w:rsidRPr="00985B97">
        <w:rPr>
          <w:rFonts w:asciiTheme="majorHAnsi" w:hAnsiTheme="majorHAnsi" w:cstheme="majorHAnsi"/>
          <w:lang w:val="es-ES"/>
        </w:rPr>
        <w:t>entenderse</w:t>
      </w:r>
      <w:r w:rsidRPr="00985B97">
        <w:rPr>
          <w:rFonts w:asciiTheme="majorHAnsi" w:hAnsiTheme="majorHAnsi" w:cstheme="majorHAnsi"/>
          <w:lang w:val="es-ES"/>
        </w:rPr>
        <w:t xml:space="preserve"> como una</w:t>
      </w:r>
      <w:r w:rsidR="00096E74" w:rsidRPr="00985B97">
        <w:rPr>
          <w:rFonts w:asciiTheme="majorHAnsi" w:hAnsiTheme="majorHAnsi" w:cstheme="majorHAnsi"/>
          <w:lang w:val="es-ES"/>
        </w:rPr>
        <w:t xml:space="preserve"> especie</w:t>
      </w:r>
      <w:r w:rsidRPr="00985B97">
        <w:rPr>
          <w:rFonts w:asciiTheme="majorHAnsi" w:hAnsiTheme="majorHAnsi" w:cstheme="majorHAnsi"/>
          <w:lang w:val="es-ES"/>
        </w:rPr>
        <w:t xml:space="preserve"> cadena en la que </w:t>
      </w:r>
      <w:r w:rsidR="00096E74" w:rsidRPr="00985B97">
        <w:rPr>
          <w:rFonts w:asciiTheme="majorHAnsi" w:hAnsiTheme="majorHAnsi" w:cstheme="majorHAnsi"/>
          <w:lang w:val="es-ES"/>
        </w:rPr>
        <w:t xml:space="preserve">las iniciativas </w:t>
      </w:r>
      <w:r w:rsidRPr="00985B97">
        <w:rPr>
          <w:rFonts w:asciiTheme="majorHAnsi" w:hAnsiTheme="majorHAnsi" w:cstheme="majorHAnsi"/>
          <w:lang w:val="es-ES"/>
        </w:rPr>
        <w:t>presidencial</w:t>
      </w:r>
      <w:r w:rsidR="00096E74" w:rsidRPr="00985B97">
        <w:rPr>
          <w:rFonts w:asciiTheme="majorHAnsi" w:hAnsiTheme="majorHAnsi" w:cstheme="majorHAnsi"/>
          <w:lang w:val="es-ES"/>
        </w:rPr>
        <w:t>es</w:t>
      </w:r>
      <w:r w:rsidRPr="00985B97">
        <w:rPr>
          <w:rFonts w:asciiTheme="majorHAnsi" w:hAnsiTheme="majorHAnsi" w:cstheme="majorHAnsi"/>
          <w:lang w:val="es-ES"/>
        </w:rPr>
        <w:t xml:space="preserve"> </w:t>
      </w:r>
      <w:r w:rsidR="00096E74" w:rsidRPr="00985B97">
        <w:rPr>
          <w:rFonts w:asciiTheme="majorHAnsi" w:hAnsiTheme="majorHAnsi" w:cstheme="majorHAnsi"/>
          <w:lang w:val="es-ES"/>
        </w:rPr>
        <w:t>o</w:t>
      </w:r>
      <w:r w:rsidRPr="00985B97">
        <w:rPr>
          <w:rFonts w:asciiTheme="majorHAnsi" w:hAnsiTheme="majorHAnsi" w:cstheme="majorHAnsi"/>
          <w:lang w:val="es-ES"/>
        </w:rPr>
        <w:t xml:space="preserve"> ministerial</w:t>
      </w:r>
      <w:r w:rsidR="00096E74" w:rsidRPr="00985B97">
        <w:rPr>
          <w:rFonts w:asciiTheme="majorHAnsi" w:hAnsiTheme="majorHAnsi" w:cstheme="majorHAnsi"/>
          <w:lang w:val="es-ES"/>
        </w:rPr>
        <w:t>es</w:t>
      </w:r>
      <w:r w:rsidRPr="00985B97">
        <w:rPr>
          <w:rFonts w:asciiTheme="majorHAnsi" w:hAnsiTheme="majorHAnsi" w:cstheme="majorHAnsi"/>
          <w:lang w:val="es-ES"/>
        </w:rPr>
        <w:t xml:space="preserve"> </w:t>
      </w:r>
      <w:r w:rsidR="00096E74" w:rsidRPr="00985B97">
        <w:rPr>
          <w:rFonts w:asciiTheme="majorHAnsi" w:hAnsiTheme="majorHAnsi" w:cstheme="majorHAnsi"/>
          <w:lang w:val="es-ES"/>
        </w:rPr>
        <w:t>sobre</w:t>
      </w:r>
      <w:r w:rsidRPr="00985B97">
        <w:rPr>
          <w:rFonts w:asciiTheme="majorHAnsi" w:hAnsiTheme="majorHAnsi" w:cstheme="majorHAnsi"/>
          <w:lang w:val="es-ES"/>
        </w:rPr>
        <w:t xml:space="preserve"> la TEJ debe</w:t>
      </w:r>
      <w:r w:rsidR="00096E74" w:rsidRPr="00985B97">
        <w:rPr>
          <w:rFonts w:asciiTheme="majorHAnsi" w:hAnsiTheme="majorHAnsi" w:cstheme="majorHAnsi"/>
          <w:lang w:val="es-ES"/>
        </w:rPr>
        <w:t>n</w:t>
      </w:r>
      <w:r w:rsidRPr="00985B97">
        <w:rPr>
          <w:rFonts w:asciiTheme="majorHAnsi" w:hAnsiTheme="majorHAnsi" w:cstheme="majorHAnsi"/>
          <w:lang w:val="es-ES"/>
        </w:rPr>
        <w:t xml:space="preserve"> atravesar un Congreso </w:t>
      </w:r>
      <w:r w:rsidR="00096E74" w:rsidRPr="00985B97">
        <w:rPr>
          <w:rFonts w:asciiTheme="majorHAnsi" w:hAnsiTheme="majorHAnsi" w:cstheme="majorHAnsi"/>
          <w:lang w:val="es-ES"/>
        </w:rPr>
        <w:t>multipartidista</w:t>
      </w:r>
      <w:r w:rsidRPr="00985B97">
        <w:rPr>
          <w:rFonts w:asciiTheme="majorHAnsi" w:hAnsiTheme="majorHAnsi" w:cstheme="majorHAnsi"/>
          <w:lang w:val="es-ES"/>
        </w:rPr>
        <w:t xml:space="preserve">, cada una con capacidad de veto sobre distintos componentes de la agenda, antes de traducirse en resultados normativos. En esta cadena </w:t>
      </w:r>
      <w:r w:rsidR="00096E74" w:rsidRPr="00985B97">
        <w:rPr>
          <w:rFonts w:asciiTheme="majorHAnsi" w:hAnsiTheme="majorHAnsi" w:cstheme="majorHAnsi"/>
          <w:lang w:val="es-ES"/>
        </w:rPr>
        <w:t>existen</w:t>
      </w:r>
      <w:r w:rsidRPr="00985B97">
        <w:rPr>
          <w:rFonts w:asciiTheme="majorHAnsi" w:hAnsiTheme="majorHAnsi" w:cstheme="majorHAnsi"/>
          <w:lang w:val="es-ES"/>
        </w:rPr>
        <w:t xml:space="preserve"> tres tipos de actores de veto: </w:t>
      </w:r>
      <w:r w:rsidR="00096E74" w:rsidRPr="00985B97">
        <w:rPr>
          <w:rFonts w:asciiTheme="majorHAnsi" w:hAnsiTheme="majorHAnsi" w:cstheme="majorHAnsi"/>
          <w:lang w:val="es-ES"/>
        </w:rPr>
        <w:t xml:space="preserve">en primer lugar, </w:t>
      </w:r>
      <w:r w:rsidRPr="00985B97">
        <w:rPr>
          <w:rFonts w:asciiTheme="majorHAnsi" w:hAnsiTheme="majorHAnsi" w:cstheme="majorHAnsi"/>
          <w:lang w:val="es-ES"/>
        </w:rPr>
        <w:t>la oposición de centro-derecha, que ha bloqueado sistemáticamente los intentos de desmontar gradualmente los subsidios a los combustibles fósiles invocando el impacto inflacionario y fiscal de su eliminación</w:t>
      </w:r>
      <w:r w:rsidR="00096E74" w:rsidRPr="00985B97">
        <w:rPr>
          <w:rFonts w:asciiTheme="majorHAnsi" w:hAnsiTheme="majorHAnsi" w:cstheme="majorHAnsi"/>
          <w:lang w:val="es-ES"/>
        </w:rPr>
        <w:t xml:space="preserve">, </w:t>
      </w:r>
      <w:r w:rsidRPr="00985B97">
        <w:rPr>
          <w:rFonts w:asciiTheme="majorHAnsi" w:hAnsiTheme="majorHAnsi" w:cstheme="majorHAnsi"/>
          <w:lang w:val="es-ES"/>
        </w:rPr>
        <w:t xml:space="preserve">como se observó en el debate sobre el Proyecto de Ley 305 de 2023 Cámara, cuyo costo fiscal estimado en 4,4 billones de pesos (0,27 % del PIB) fue determinante para su bloqueo (Ministerio de Hacienda y Crédito Público, 2024); </w:t>
      </w:r>
      <w:r w:rsidR="00096E74" w:rsidRPr="00985B97">
        <w:rPr>
          <w:rFonts w:asciiTheme="majorHAnsi" w:hAnsiTheme="majorHAnsi" w:cstheme="majorHAnsi"/>
          <w:lang w:val="es-ES"/>
        </w:rPr>
        <w:t xml:space="preserve">en segundo lugar, </w:t>
      </w:r>
      <w:r w:rsidRPr="00985B97">
        <w:rPr>
          <w:rFonts w:asciiTheme="majorHAnsi" w:hAnsiTheme="majorHAnsi" w:cstheme="majorHAnsi"/>
          <w:lang w:val="es-ES"/>
        </w:rPr>
        <w:t xml:space="preserve">los partidos con agenda ambiental más estricta, </w:t>
      </w:r>
      <w:r w:rsidR="00096E74" w:rsidRPr="00985B97">
        <w:rPr>
          <w:rFonts w:asciiTheme="majorHAnsi" w:hAnsiTheme="majorHAnsi" w:cstheme="majorHAnsi"/>
          <w:lang w:val="es-ES"/>
        </w:rPr>
        <w:t>que pueden</w:t>
      </w:r>
      <w:r w:rsidRPr="00985B97">
        <w:rPr>
          <w:rFonts w:asciiTheme="majorHAnsi" w:hAnsiTheme="majorHAnsi" w:cstheme="majorHAnsi"/>
          <w:lang w:val="es-ES"/>
        </w:rPr>
        <w:t xml:space="preserve"> inclinar la balanza en decisiones sobre infraestructura de transmisión y licenciamiento; </w:t>
      </w:r>
      <w:r w:rsidR="00096E74" w:rsidRPr="00985B97">
        <w:rPr>
          <w:rFonts w:asciiTheme="majorHAnsi" w:hAnsiTheme="majorHAnsi" w:cstheme="majorHAnsi"/>
          <w:lang w:val="es-ES"/>
        </w:rPr>
        <w:t>y en tercer lugar,</w:t>
      </w:r>
      <w:r w:rsidRPr="00985B97">
        <w:rPr>
          <w:rFonts w:asciiTheme="majorHAnsi" w:hAnsiTheme="majorHAnsi" w:cstheme="majorHAnsi"/>
          <w:lang w:val="es-ES"/>
        </w:rPr>
        <w:t xml:space="preserve"> las Comisiones Quinta del Senado y Sexta de la Cámara, que actúan como veto </w:t>
      </w:r>
      <w:proofErr w:type="spellStart"/>
      <w:r w:rsidRPr="00985B97">
        <w:rPr>
          <w:rFonts w:asciiTheme="majorHAnsi" w:hAnsiTheme="majorHAnsi" w:cstheme="majorHAnsi"/>
          <w:lang w:val="es-ES"/>
        </w:rPr>
        <w:t>players</w:t>
      </w:r>
      <w:proofErr w:type="spellEnd"/>
      <w:r w:rsidRPr="00985B97">
        <w:rPr>
          <w:rFonts w:asciiTheme="majorHAnsi" w:hAnsiTheme="majorHAnsi" w:cstheme="majorHAnsi"/>
          <w:lang w:val="es-ES"/>
        </w:rPr>
        <w:t xml:space="preserve"> institucionales </w:t>
      </w:r>
      <w:r w:rsidR="00096E74" w:rsidRPr="00985B97">
        <w:rPr>
          <w:rFonts w:asciiTheme="majorHAnsi" w:hAnsiTheme="majorHAnsi" w:cstheme="majorHAnsi"/>
          <w:lang w:val="es-ES"/>
        </w:rPr>
        <w:t>con la</w:t>
      </w:r>
      <w:r w:rsidRPr="00985B97">
        <w:rPr>
          <w:rFonts w:asciiTheme="majorHAnsi" w:hAnsiTheme="majorHAnsi" w:cstheme="majorHAnsi"/>
          <w:lang w:val="es-ES"/>
        </w:rPr>
        <w:t xml:space="preserve"> capacidad de dilatar el trámite hasta activar el archivo automático del artículo 190 de la Ley 5 de 1992.</w:t>
      </w:r>
    </w:p>
    <w:p w14:paraId="1F4BB2A2" w14:textId="77777777" w:rsidR="000F3B98" w:rsidRPr="00985B97" w:rsidRDefault="000F3B98"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El modelo de corrientes múltiples de </w:t>
      </w:r>
      <w:proofErr w:type="spellStart"/>
      <w:r w:rsidRPr="00985B97">
        <w:rPr>
          <w:rFonts w:asciiTheme="majorHAnsi" w:hAnsiTheme="majorHAnsi" w:cstheme="majorHAnsi"/>
          <w:lang w:val="es-ES"/>
        </w:rPr>
        <w:t>Kingdon</w:t>
      </w:r>
      <w:proofErr w:type="spellEnd"/>
      <w:r w:rsidRPr="00985B97">
        <w:rPr>
          <w:rFonts w:asciiTheme="majorHAnsi" w:hAnsiTheme="majorHAnsi" w:cstheme="majorHAnsi"/>
          <w:lang w:val="es-ES"/>
        </w:rPr>
        <w:t xml:space="preserve"> (2011) </w:t>
      </w:r>
      <w:r w:rsidR="0024662A" w:rsidRPr="00985B97">
        <w:rPr>
          <w:rFonts w:asciiTheme="majorHAnsi" w:hAnsiTheme="majorHAnsi" w:cstheme="majorHAnsi"/>
          <w:lang w:val="es-ES"/>
        </w:rPr>
        <w:t>señala que,</w:t>
      </w:r>
      <w:r w:rsidRPr="00985B97">
        <w:rPr>
          <w:rFonts w:asciiTheme="majorHAnsi" w:hAnsiTheme="majorHAnsi" w:cstheme="majorHAnsi"/>
          <w:lang w:val="es-ES"/>
        </w:rPr>
        <w:t xml:space="preserve"> a pesar de la existencia de </w:t>
      </w:r>
      <w:r w:rsidR="0024662A" w:rsidRPr="00985B97">
        <w:rPr>
          <w:rFonts w:asciiTheme="majorHAnsi" w:hAnsiTheme="majorHAnsi" w:cstheme="majorHAnsi"/>
          <w:lang w:val="es-ES"/>
        </w:rPr>
        <w:t xml:space="preserve">problemas en los que coinciden los actores, como </w:t>
      </w:r>
      <w:r w:rsidRPr="00985B97">
        <w:rPr>
          <w:rFonts w:asciiTheme="majorHAnsi" w:hAnsiTheme="majorHAnsi" w:cstheme="majorHAnsi"/>
          <w:lang w:val="es-ES"/>
        </w:rPr>
        <w:t>la elevada dependencia de hidrocarburos de la matriz energética y los compromisos climáticos internacionales de Colombia</w:t>
      </w:r>
      <w:r w:rsidR="0024662A" w:rsidRPr="00985B97">
        <w:rPr>
          <w:rFonts w:asciiTheme="majorHAnsi" w:hAnsiTheme="majorHAnsi" w:cstheme="majorHAnsi"/>
          <w:lang w:val="es-ES"/>
        </w:rPr>
        <w:t xml:space="preserve">, así como </w:t>
      </w:r>
      <w:r w:rsidRPr="00985B97">
        <w:rPr>
          <w:rFonts w:asciiTheme="majorHAnsi" w:hAnsiTheme="majorHAnsi" w:cstheme="majorHAnsi"/>
          <w:lang w:val="es-ES"/>
        </w:rPr>
        <w:t xml:space="preserve">de </w:t>
      </w:r>
      <w:r w:rsidR="0024662A" w:rsidRPr="00985B97">
        <w:rPr>
          <w:rFonts w:asciiTheme="majorHAnsi" w:hAnsiTheme="majorHAnsi" w:cstheme="majorHAnsi"/>
          <w:lang w:val="es-ES"/>
        </w:rPr>
        <w:t xml:space="preserve">la existencia de </w:t>
      </w:r>
      <w:r w:rsidRPr="00985B97">
        <w:rPr>
          <w:rFonts w:asciiTheme="majorHAnsi" w:hAnsiTheme="majorHAnsi" w:cstheme="majorHAnsi"/>
          <w:lang w:val="es-ES"/>
        </w:rPr>
        <w:t>políticas alternativas</w:t>
      </w:r>
      <w:r w:rsidR="0024662A" w:rsidRPr="00985B97">
        <w:rPr>
          <w:rFonts w:asciiTheme="majorHAnsi" w:hAnsiTheme="majorHAnsi" w:cstheme="majorHAnsi"/>
          <w:lang w:val="es-ES"/>
        </w:rPr>
        <w:t xml:space="preserve">, por ejemplo, las </w:t>
      </w:r>
      <w:r w:rsidRPr="00985B97">
        <w:rPr>
          <w:rFonts w:asciiTheme="majorHAnsi" w:hAnsiTheme="majorHAnsi" w:cstheme="majorHAnsi"/>
          <w:lang w:val="es-ES"/>
        </w:rPr>
        <w:t>comunidades energéticas, subastas de energías renovables y modernización del mercado eléctrico</w:t>
      </w:r>
      <w:r w:rsidR="00F44107" w:rsidRPr="00985B97">
        <w:rPr>
          <w:rFonts w:asciiTheme="majorHAnsi" w:hAnsiTheme="majorHAnsi" w:cstheme="majorHAnsi"/>
          <w:lang w:val="es-ES"/>
        </w:rPr>
        <w:t>;</w:t>
      </w:r>
      <w:r w:rsidRPr="00985B97">
        <w:rPr>
          <w:rFonts w:asciiTheme="majorHAnsi" w:hAnsiTheme="majorHAnsi" w:cstheme="majorHAnsi"/>
          <w:lang w:val="es-ES"/>
        </w:rPr>
        <w:t xml:space="preserve"> la fragmentación partidista, la proximidad de ciclos electorales y la ausencia de </w:t>
      </w:r>
      <w:r w:rsidR="00F44107" w:rsidRPr="00985B97">
        <w:rPr>
          <w:rFonts w:asciiTheme="majorHAnsi" w:hAnsiTheme="majorHAnsi" w:cstheme="majorHAnsi"/>
          <w:lang w:val="es-ES"/>
        </w:rPr>
        <w:t>una estrategia institucionalizada</w:t>
      </w:r>
      <w:r w:rsidRPr="00985B97">
        <w:rPr>
          <w:rFonts w:asciiTheme="majorHAnsi" w:hAnsiTheme="majorHAnsi" w:cstheme="majorHAnsi"/>
          <w:lang w:val="es-ES"/>
        </w:rPr>
        <w:t xml:space="preserve"> permanente </w:t>
      </w:r>
      <w:r w:rsidR="00F44107" w:rsidRPr="00985B97">
        <w:rPr>
          <w:rFonts w:asciiTheme="majorHAnsi" w:hAnsiTheme="majorHAnsi" w:cstheme="majorHAnsi"/>
          <w:lang w:val="es-ES"/>
        </w:rPr>
        <w:t>que logre</w:t>
      </w:r>
      <w:r w:rsidRPr="00985B97">
        <w:rPr>
          <w:rFonts w:asciiTheme="majorHAnsi" w:hAnsiTheme="majorHAnsi" w:cstheme="majorHAnsi"/>
          <w:lang w:val="es-ES"/>
        </w:rPr>
        <w:t xml:space="preserve"> acoplar </w:t>
      </w:r>
      <w:r w:rsidR="00F44107" w:rsidRPr="00985B97">
        <w:rPr>
          <w:rFonts w:asciiTheme="majorHAnsi" w:hAnsiTheme="majorHAnsi" w:cstheme="majorHAnsi"/>
          <w:lang w:val="es-ES"/>
        </w:rPr>
        <w:t>estos fenómenos</w:t>
      </w:r>
      <w:r w:rsidRPr="00985B97">
        <w:rPr>
          <w:rFonts w:asciiTheme="majorHAnsi" w:hAnsiTheme="majorHAnsi" w:cstheme="majorHAnsi"/>
          <w:lang w:val="es-ES"/>
        </w:rPr>
        <w:t xml:space="preserve"> en el momento oportuno</w:t>
      </w:r>
      <w:r w:rsidR="00F44107" w:rsidRPr="00985B97">
        <w:rPr>
          <w:rFonts w:asciiTheme="majorHAnsi" w:hAnsiTheme="majorHAnsi" w:cstheme="majorHAnsi"/>
          <w:lang w:val="es-ES"/>
        </w:rPr>
        <w:t>,</w:t>
      </w:r>
      <w:r w:rsidRPr="00985B97">
        <w:rPr>
          <w:rFonts w:asciiTheme="majorHAnsi" w:hAnsiTheme="majorHAnsi" w:cstheme="majorHAnsi"/>
          <w:lang w:val="es-ES"/>
        </w:rPr>
        <w:t xml:space="preserve"> explican por </w:t>
      </w:r>
      <w:r w:rsidRPr="00985B97">
        <w:rPr>
          <w:rFonts w:asciiTheme="majorHAnsi" w:hAnsiTheme="majorHAnsi" w:cstheme="majorHAnsi"/>
          <w:lang w:val="es-ES"/>
        </w:rPr>
        <w:lastRenderedPageBreak/>
        <w:t>qué las ventanas de oportunidad que se abren (como la aprobación conciliada del proyecto de gas para VIS/VIP) tienden a cerrarse abruptamente por fallas de coordinación en etapas posteriores del proceso.</w:t>
      </w:r>
    </w:p>
    <w:p w14:paraId="3610B2B7" w14:textId="77777777" w:rsidR="000F3B98" w:rsidRPr="00985B97" w:rsidRDefault="000F3B98"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Finalmente, la teoría principal-agente permite interpretar esta dinámica como un problema de agencia de doble nivel. Por un lado, el Congreso actúa como agente de la ciudadanía y debe rendir cuentas sobre el desempeño del </w:t>
      </w:r>
      <w:r w:rsidR="001D4B0A" w:rsidRPr="00985B97">
        <w:rPr>
          <w:rFonts w:asciiTheme="majorHAnsi" w:hAnsiTheme="majorHAnsi" w:cstheme="majorHAnsi"/>
          <w:lang w:val="es-ES"/>
        </w:rPr>
        <w:t>ejecutivo</w:t>
      </w:r>
      <w:r w:rsidRPr="00985B97">
        <w:rPr>
          <w:rFonts w:asciiTheme="majorHAnsi" w:hAnsiTheme="majorHAnsi" w:cstheme="majorHAnsi"/>
          <w:lang w:val="es-ES"/>
        </w:rPr>
        <w:t xml:space="preserve"> sectorial</w:t>
      </w:r>
      <w:r w:rsidR="00F44107" w:rsidRPr="00985B97">
        <w:rPr>
          <w:rFonts w:asciiTheme="majorHAnsi" w:hAnsiTheme="majorHAnsi" w:cstheme="majorHAnsi"/>
          <w:lang w:val="es-ES"/>
        </w:rPr>
        <w:t xml:space="preserve">, y, </w:t>
      </w:r>
      <w:r w:rsidRPr="00985B97">
        <w:rPr>
          <w:rFonts w:asciiTheme="majorHAnsi" w:hAnsiTheme="majorHAnsi" w:cstheme="majorHAnsi"/>
          <w:lang w:val="es-ES"/>
        </w:rPr>
        <w:t xml:space="preserve">por otro, dentro del </w:t>
      </w:r>
      <w:r w:rsidR="00F44107" w:rsidRPr="00985B97">
        <w:rPr>
          <w:rFonts w:asciiTheme="majorHAnsi" w:hAnsiTheme="majorHAnsi" w:cstheme="majorHAnsi"/>
          <w:lang w:val="es-ES"/>
        </w:rPr>
        <w:t>e</w:t>
      </w:r>
      <w:r w:rsidRPr="00985B97">
        <w:rPr>
          <w:rFonts w:asciiTheme="majorHAnsi" w:hAnsiTheme="majorHAnsi" w:cstheme="majorHAnsi"/>
          <w:lang w:val="es-ES"/>
        </w:rPr>
        <w:t xml:space="preserve">jecutivo, el MME actúa como agente del </w:t>
      </w:r>
      <w:proofErr w:type="gramStart"/>
      <w:r w:rsidRPr="00985B97">
        <w:rPr>
          <w:rFonts w:asciiTheme="majorHAnsi" w:hAnsiTheme="majorHAnsi" w:cstheme="majorHAnsi"/>
          <w:lang w:val="es-ES"/>
        </w:rPr>
        <w:t>Presidente</w:t>
      </w:r>
      <w:proofErr w:type="gramEnd"/>
      <w:r w:rsidRPr="00985B97">
        <w:rPr>
          <w:rFonts w:asciiTheme="majorHAnsi" w:hAnsiTheme="majorHAnsi" w:cstheme="majorHAnsi"/>
          <w:lang w:val="es-ES"/>
        </w:rPr>
        <w:t xml:space="preserve"> y de las prioridades programáticas de gobierno, </w:t>
      </w:r>
      <w:r w:rsidR="00F44107" w:rsidRPr="00985B97">
        <w:rPr>
          <w:rFonts w:asciiTheme="majorHAnsi" w:hAnsiTheme="majorHAnsi" w:cstheme="majorHAnsi"/>
          <w:lang w:val="es-ES"/>
        </w:rPr>
        <w:t>con el deber de</w:t>
      </w:r>
      <w:r w:rsidRPr="00985B97">
        <w:rPr>
          <w:rFonts w:asciiTheme="majorHAnsi" w:hAnsiTheme="majorHAnsi" w:cstheme="majorHAnsi"/>
          <w:lang w:val="es-ES"/>
        </w:rPr>
        <w:t xml:space="preserve"> anticipar y neutralizar las objeciones de otros principales relevantes, en particular el Ministerio de Hacienda en materia de aval fiscal (Ley 819 de 2003). </w:t>
      </w:r>
      <w:r w:rsidR="00F44107" w:rsidRPr="00985B97">
        <w:rPr>
          <w:rFonts w:asciiTheme="majorHAnsi" w:hAnsiTheme="majorHAnsi" w:cstheme="majorHAnsi"/>
          <w:lang w:val="es-ES"/>
        </w:rPr>
        <w:t>E</w:t>
      </w:r>
      <w:r w:rsidRPr="00985B97">
        <w:rPr>
          <w:rFonts w:asciiTheme="majorHAnsi" w:hAnsiTheme="majorHAnsi" w:cstheme="majorHAnsi"/>
          <w:lang w:val="es-ES"/>
        </w:rPr>
        <w:t xml:space="preserve">stas relaciones de agencia se ven </w:t>
      </w:r>
      <w:r w:rsidR="00F44107" w:rsidRPr="00985B97">
        <w:rPr>
          <w:rFonts w:asciiTheme="majorHAnsi" w:hAnsiTheme="majorHAnsi" w:cstheme="majorHAnsi"/>
          <w:lang w:val="es-ES"/>
        </w:rPr>
        <w:t>afectadas</w:t>
      </w:r>
      <w:r w:rsidRPr="00985B97">
        <w:rPr>
          <w:rFonts w:asciiTheme="majorHAnsi" w:hAnsiTheme="majorHAnsi" w:cstheme="majorHAnsi"/>
          <w:lang w:val="es-ES"/>
        </w:rPr>
        <w:t xml:space="preserve"> por asimetrías de información entre quien delega y quien ejecuta, así como por los costos de monitoreo necesarios para verificar el cumplimiento de los mandatos delegados (</w:t>
      </w:r>
      <w:proofErr w:type="spellStart"/>
      <w:r w:rsidRPr="00985B97">
        <w:rPr>
          <w:rFonts w:asciiTheme="majorHAnsi" w:hAnsiTheme="majorHAnsi" w:cstheme="majorHAnsi"/>
          <w:lang w:val="es-ES"/>
        </w:rPr>
        <w:t>Str</w:t>
      </w:r>
      <w:r w:rsidR="00F44107" w:rsidRPr="00985B97">
        <w:rPr>
          <w:rFonts w:asciiTheme="majorHAnsi" w:hAnsiTheme="majorHAnsi" w:cstheme="majorHAnsi"/>
          <w:lang w:val="es-ES"/>
        </w:rPr>
        <w:t>o</w:t>
      </w:r>
      <w:r w:rsidRPr="00985B97">
        <w:rPr>
          <w:rFonts w:asciiTheme="majorHAnsi" w:hAnsiTheme="majorHAnsi" w:cstheme="majorHAnsi"/>
          <w:lang w:val="es-ES"/>
        </w:rPr>
        <w:t>m</w:t>
      </w:r>
      <w:proofErr w:type="spellEnd"/>
      <w:r w:rsidRPr="00985B97">
        <w:rPr>
          <w:rFonts w:asciiTheme="majorHAnsi" w:hAnsiTheme="majorHAnsi" w:cstheme="majorHAnsi"/>
          <w:lang w:val="es-ES"/>
        </w:rPr>
        <w:t xml:space="preserve">, 2000). En el caso </w:t>
      </w:r>
      <w:r w:rsidR="00F44107" w:rsidRPr="00985B97">
        <w:rPr>
          <w:rFonts w:asciiTheme="majorHAnsi" w:hAnsiTheme="majorHAnsi" w:cstheme="majorHAnsi"/>
          <w:lang w:val="es-ES"/>
        </w:rPr>
        <w:t>de estudio</w:t>
      </w:r>
      <w:r w:rsidRPr="00985B97">
        <w:rPr>
          <w:rFonts w:asciiTheme="majorHAnsi" w:hAnsiTheme="majorHAnsi" w:cstheme="majorHAnsi"/>
          <w:lang w:val="es-ES"/>
        </w:rPr>
        <w:t>, la ausencia de un equipo técnico dedicado a producir de manera sistemática estudios de impacto fiscal y social ex ante</w:t>
      </w:r>
      <w:r w:rsidR="00F44107" w:rsidRPr="00985B97">
        <w:rPr>
          <w:rFonts w:asciiTheme="majorHAnsi" w:hAnsiTheme="majorHAnsi" w:cstheme="majorHAnsi"/>
          <w:lang w:val="es-ES"/>
        </w:rPr>
        <w:t xml:space="preserve">, </w:t>
      </w:r>
      <w:r w:rsidRPr="00985B97">
        <w:rPr>
          <w:rFonts w:asciiTheme="majorHAnsi" w:hAnsiTheme="majorHAnsi" w:cstheme="majorHAnsi"/>
          <w:lang w:val="es-ES"/>
        </w:rPr>
        <w:t>que anticipen las objeciones de las comisiones, del Ministerio de Hacienda o de la propia Presidencia</w:t>
      </w:r>
      <w:r w:rsidR="00F44107" w:rsidRPr="00985B97">
        <w:rPr>
          <w:rFonts w:asciiTheme="majorHAnsi" w:hAnsiTheme="majorHAnsi" w:cstheme="majorHAnsi"/>
          <w:lang w:val="es-ES"/>
        </w:rPr>
        <w:t>,</w:t>
      </w:r>
      <w:r w:rsidRPr="00985B97">
        <w:rPr>
          <w:rFonts w:asciiTheme="majorHAnsi" w:hAnsiTheme="majorHAnsi" w:cstheme="majorHAnsi"/>
          <w:lang w:val="es-ES"/>
        </w:rPr>
        <w:t xml:space="preserve"> </w:t>
      </w:r>
      <w:r w:rsidR="00F44107" w:rsidRPr="00985B97">
        <w:rPr>
          <w:rFonts w:asciiTheme="majorHAnsi" w:hAnsiTheme="majorHAnsi" w:cstheme="majorHAnsi"/>
          <w:lang w:val="es-ES"/>
        </w:rPr>
        <w:t>incrementa</w:t>
      </w:r>
      <w:r w:rsidRPr="00985B97">
        <w:rPr>
          <w:rFonts w:asciiTheme="majorHAnsi" w:hAnsiTheme="majorHAnsi" w:cstheme="majorHAnsi"/>
          <w:lang w:val="es-ES"/>
        </w:rPr>
        <w:t xml:space="preserve"> los costos de agencia de cada iniciativa individual, obligando al Ministerio a negociar caso por caso, proyecto por proyecto y comisión por comisión, sin que exista una curva de aprendizaje institucional acumulable de una legislatura a la siguiente</w:t>
      </w:r>
      <w:r w:rsidR="00423BCB" w:rsidRPr="00985B97">
        <w:rPr>
          <w:rFonts w:asciiTheme="majorHAnsi" w:hAnsiTheme="majorHAnsi" w:cstheme="majorHAnsi"/>
          <w:lang w:val="es-ES"/>
        </w:rPr>
        <w:t>, dificultando la existencia de un</w:t>
      </w:r>
      <w:r w:rsidRPr="00985B97">
        <w:rPr>
          <w:rFonts w:asciiTheme="majorHAnsi" w:hAnsiTheme="majorHAnsi" w:cstheme="majorHAnsi"/>
          <w:lang w:val="es-ES"/>
        </w:rPr>
        <w:t xml:space="preserve"> análisis estratégico legislativo </w:t>
      </w:r>
      <w:r w:rsidR="00423BCB" w:rsidRPr="00985B97">
        <w:rPr>
          <w:rFonts w:asciiTheme="majorHAnsi" w:hAnsiTheme="majorHAnsi" w:cstheme="majorHAnsi"/>
          <w:lang w:val="es-ES"/>
        </w:rPr>
        <w:t xml:space="preserve">institucional </w:t>
      </w:r>
      <w:r w:rsidRPr="00985B97">
        <w:rPr>
          <w:rFonts w:asciiTheme="majorHAnsi" w:hAnsiTheme="majorHAnsi" w:cstheme="majorHAnsi"/>
          <w:lang w:val="es-ES"/>
        </w:rPr>
        <w:t>dentro del Ministerio de Minas y Energía para acelerar la consolidación normativa de la política de transición energética justa.</w:t>
      </w:r>
    </w:p>
    <w:p w14:paraId="39A4E35C" w14:textId="77777777" w:rsidR="00222BBC" w:rsidRPr="00985B97" w:rsidRDefault="00F51464" w:rsidP="00985B97">
      <w:pPr>
        <w:pStyle w:val="Ttulo2"/>
        <w:rPr>
          <w:rFonts w:asciiTheme="majorHAnsi" w:hAnsiTheme="majorHAnsi" w:cstheme="majorHAnsi"/>
          <w:sz w:val="22"/>
          <w:szCs w:val="22"/>
        </w:rPr>
      </w:pPr>
      <w:bookmarkStart w:id="162" w:name="_Toc235092566"/>
      <w:bookmarkStart w:id="163" w:name="_Toc235108010"/>
      <w:bookmarkStart w:id="164" w:name="_Hlk234698337"/>
      <w:r w:rsidRPr="00985B97">
        <w:rPr>
          <w:rFonts w:asciiTheme="majorHAnsi" w:hAnsiTheme="majorHAnsi" w:cstheme="majorHAnsi"/>
          <w:sz w:val="22"/>
          <w:szCs w:val="22"/>
        </w:rPr>
        <w:t xml:space="preserve">1.2 </w:t>
      </w:r>
      <w:r w:rsidR="00222BBC" w:rsidRPr="00985B97">
        <w:rPr>
          <w:rFonts w:asciiTheme="majorHAnsi" w:hAnsiTheme="majorHAnsi" w:cstheme="majorHAnsi"/>
          <w:sz w:val="22"/>
          <w:szCs w:val="22"/>
        </w:rPr>
        <w:t>Análisis de la estrategia de relacionamiento legislativo del Ministerio de Minas y Energía</w:t>
      </w:r>
      <w:bookmarkEnd w:id="162"/>
      <w:bookmarkEnd w:id="163"/>
      <w:r w:rsidR="00222BBC" w:rsidRPr="00985B97">
        <w:rPr>
          <w:rFonts w:asciiTheme="majorHAnsi" w:hAnsiTheme="majorHAnsi" w:cstheme="majorHAnsi"/>
          <w:sz w:val="22"/>
          <w:szCs w:val="22"/>
        </w:rPr>
        <w:t xml:space="preserve">    </w:t>
      </w:r>
    </w:p>
    <w:p w14:paraId="05B301D7"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El análisis de las estrategias legislativas requiere inicialmente de algunas precisiones conceptuales sobre el presidencialismo de coalición: </w:t>
      </w:r>
      <w:proofErr w:type="spellStart"/>
      <w:r w:rsidRPr="00985B97">
        <w:rPr>
          <w:rFonts w:asciiTheme="majorHAnsi" w:hAnsiTheme="majorHAnsi" w:cstheme="majorHAnsi"/>
          <w:lang w:val="es-ES"/>
        </w:rPr>
        <w:t>Mainwaring</w:t>
      </w:r>
      <w:proofErr w:type="spellEnd"/>
      <w:r w:rsidRPr="00985B97">
        <w:rPr>
          <w:rFonts w:asciiTheme="majorHAnsi" w:hAnsiTheme="majorHAnsi" w:cstheme="majorHAnsi"/>
          <w:lang w:val="es-ES"/>
        </w:rPr>
        <w:t xml:space="preserve"> (1993) identificó el problema estructural de los sistemas que combinan presidencialismo, multipartidismo y democracia competitiva, argumentando que esta combinación genera dificultades sistémicas de gobernabilidad: el presidente carece de mayoría legislativa propia y debe construirla mediante la negociación permanente con múltiples partidos, cada uno con agendas propias. En el contexto colombiano, este desafío se agrava por la alta fragmentación partidaria: el Congreso elegido en 2022 incluye representación efectiva de más de ocho partidos con posicionamientos ideológicos heterogéneos. </w:t>
      </w:r>
    </w:p>
    <w:p w14:paraId="3F5A382C"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lastRenderedPageBreak/>
        <w:t xml:space="preserve">En este mismo sentido, </w:t>
      </w:r>
      <w:proofErr w:type="spellStart"/>
      <w:r w:rsidRPr="00985B97">
        <w:rPr>
          <w:rFonts w:asciiTheme="majorHAnsi" w:hAnsiTheme="majorHAnsi" w:cstheme="majorHAnsi"/>
          <w:lang w:val="es-ES"/>
        </w:rPr>
        <w:t>Bertranou</w:t>
      </w:r>
      <w:proofErr w:type="spellEnd"/>
      <w:r w:rsidRPr="00985B97">
        <w:rPr>
          <w:rFonts w:asciiTheme="majorHAnsi" w:hAnsiTheme="majorHAnsi" w:cstheme="majorHAnsi"/>
          <w:lang w:val="es-ES"/>
        </w:rPr>
        <w:t xml:space="preserve"> (2015) distingue varias dimensiones de la capacidad estatal en cuanto al relacionamiento de los actores, entre las cuales se encuentra la "capacidad político-relacional", que es la habilidad estatal para construir coaliciones, obtener legitimidad social y articular consensos en torno a la acción pública. En este marco, la capacidad político-relacional del MME durante 2022-2026 ha estado condicionada por la alta rotación ministerial, que ha impedido la acumulación de capital relacional institucional. Cada nuevo ministro debió reconstruir sus propias redes con el Congreso, convirtiendo lo que debía ser una capacidad institucional en una capacidad personalista.</w:t>
      </w:r>
    </w:p>
    <w:p w14:paraId="0329CA21"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Teniendo en cuenta estos conceptos, este apartado presenta un análisis del método de relacionamiento legislativo del sector minero-energético, con el fin de identificar las brechas entre su diseño y su implementación efectiva, para el período 2022-2026. </w:t>
      </w:r>
    </w:p>
    <w:p w14:paraId="753BF4CE" w14:textId="77777777" w:rsidR="00222BBC" w:rsidRPr="00985B97" w:rsidRDefault="004724DF" w:rsidP="00985B97">
      <w:pPr>
        <w:pStyle w:val="Ttulo3"/>
        <w:rPr>
          <w:rFonts w:asciiTheme="majorHAnsi" w:hAnsiTheme="majorHAnsi" w:cstheme="majorHAnsi"/>
          <w:sz w:val="22"/>
          <w:szCs w:val="22"/>
        </w:rPr>
      </w:pPr>
      <w:bookmarkStart w:id="165" w:name="_Toc235092567"/>
      <w:bookmarkStart w:id="166" w:name="_Toc235108011"/>
      <w:r w:rsidRPr="00985B97">
        <w:rPr>
          <w:rFonts w:asciiTheme="majorHAnsi" w:hAnsiTheme="majorHAnsi" w:cstheme="majorHAnsi"/>
          <w:sz w:val="22"/>
          <w:szCs w:val="22"/>
          <w:lang w:val="es-ES"/>
        </w:rPr>
        <w:t xml:space="preserve">1.2.1 </w:t>
      </w:r>
      <w:r w:rsidR="00222BBC" w:rsidRPr="00985B97">
        <w:rPr>
          <w:rFonts w:asciiTheme="majorHAnsi" w:hAnsiTheme="majorHAnsi" w:cstheme="majorHAnsi"/>
          <w:sz w:val="22"/>
          <w:szCs w:val="22"/>
        </w:rPr>
        <w:t>Contexto político-legislativo</w:t>
      </w:r>
      <w:bookmarkEnd w:id="165"/>
      <w:bookmarkEnd w:id="166"/>
    </w:p>
    <w:p w14:paraId="182B721C"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La estrategia de relacionamiento legislativo del MME ha operado en un contexto político que limita sus posibilidades de éxito. El Congreso elegido en marzo de 2022 configuraba una minoría legislativa para el gobierno desde su inicio: el Pacto Histórico, el partido de gobierno, obtuvo apenas 20 senadores de un total de 108 y 26 representantes de 188, lo que representaba el 18,5% del Senado y el 13,8% de la Cámara. Esta distribución hacía imposible aprobar cualquier iniciativa legislativa sin el concurso de al menos tres de los cuatro partidos tradicionales, ninguno de los cuales compartía plenamente la agenda de transformación estructural del sector energético que la transición energética justa implica. </w:t>
      </w:r>
    </w:p>
    <w:p w14:paraId="55C55C89"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Sin embargo, este escenario político se redefinió con la ruptura de la coalición de gobierno en abril de 2023. La derrota de la reforma a la salud en la Comisión Séptima de la Cámara (votación 10-8) llevó al </w:t>
      </w:r>
      <w:proofErr w:type="gramStart"/>
      <w:r w:rsidRPr="00985B97">
        <w:rPr>
          <w:rFonts w:asciiTheme="majorHAnsi" w:hAnsiTheme="majorHAnsi" w:cstheme="majorHAnsi"/>
          <w:lang w:val="es-ES"/>
        </w:rPr>
        <w:t>Presidente</w:t>
      </w:r>
      <w:proofErr w:type="gramEnd"/>
      <w:r w:rsidRPr="00985B97">
        <w:rPr>
          <w:rFonts w:asciiTheme="majorHAnsi" w:hAnsiTheme="majorHAnsi" w:cstheme="majorHAnsi"/>
          <w:lang w:val="es-ES"/>
        </w:rPr>
        <w:t xml:space="preserve"> Gustavo Petro a declarar el fin de la coalición con los partidos Liberal, Conservador, La U y Cambio Radical, quienes pasaron a una posición de independencia frente al gobierno. Esta ruptura tuvo consecuencias directas sobre la viabilidad de la agenda legislativa del MME: lo que era partido de gobierno pasó a ser independiente u opositor prácticamente de un día para el otro, invalidando el análisis composicional previo y obligando a una reconversión de la estrategia de coalición de gobierno a coalición temática proyecto por proyecto, en un juego de disputa de intereses marcados. </w:t>
      </w:r>
    </w:p>
    <w:p w14:paraId="0F7BCEBC"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lastRenderedPageBreak/>
        <w:t xml:space="preserve">Otro factor que ha afectado significativamente el contexto administrativo ha sido la rotación ministerial del gobierno Petro. Con 57 ministros en tres años de gobierno (Infobae, 2025), la discontinuidad institucional fue estructural, no excepcional. En los primeros 22 meses del mandato se produjeron 15 cambios ministeriales (Bloomberg Línea, 2024). En el caso específico del MME, la sucesión de titulares implicó que las redes de relacionamiento legislativo construidas por cada ministro debían reconstruirse con cada cambio, convirtiendo de facto la estrategia institucional en una práctica personalista que se reiniciaba con cada nueva conducción ministerial. Esta dinámica es el principal </w:t>
      </w:r>
      <w:proofErr w:type="spellStart"/>
      <w:r w:rsidRPr="00985B97">
        <w:rPr>
          <w:rFonts w:asciiTheme="majorHAnsi" w:hAnsiTheme="majorHAnsi" w:cstheme="majorHAnsi"/>
          <w:lang w:val="es-ES"/>
        </w:rPr>
        <w:t>disruptor</w:t>
      </w:r>
      <w:proofErr w:type="spellEnd"/>
      <w:r w:rsidRPr="00985B97">
        <w:rPr>
          <w:rFonts w:asciiTheme="majorHAnsi" w:hAnsiTheme="majorHAnsi" w:cstheme="majorHAnsi"/>
          <w:lang w:val="es-ES"/>
        </w:rPr>
        <w:t xml:space="preserve"> empírico de la estrategia y, al mismo tiempo, la manifestación más contundente de la debilidad estructural que la hipótesis doctoral identifica. </w:t>
      </w:r>
    </w:p>
    <w:p w14:paraId="1BB6C968"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A estas condiciones se sumaron las tensiones </w:t>
      </w:r>
      <w:proofErr w:type="spellStart"/>
      <w:r w:rsidRPr="00985B97">
        <w:rPr>
          <w:rFonts w:asciiTheme="majorHAnsi" w:hAnsiTheme="majorHAnsi" w:cstheme="majorHAnsi"/>
          <w:lang w:val="es-ES"/>
        </w:rPr>
        <w:t>intraejecutivas</w:t>
      </w:r>
      <w:proofErr w:type="spellEnd"/>
      <w:r w:rsidRPr="00985B97">
        <w:rPr>
          <w:rFonts w:asciiTheme="majorHAnsi" w:hAnsiTheme="majorHAnsi" w:cstheme="majorHAnsi"/>
          <w:lang w:val="es-ES"/>
        </w:rPr>
        <w:t xml:space="preserve"> que incidieron en la coherencia de la posición del MME frente al Congreso. La declaración del </w:t>
      </w:r>
      <w:proofErr w:type="gramStart"/>
      <w:r w:rsidRPr="00985B97">
        <w:rPr>
          <w:rFonts w:asciiTheme="majorHAnsi" w:hAnsiTheme="majorHAnsi" w:cstheme="majorHAnsi"/>
          <w:lang w:val="es-ES"/>
        </w:rPr>
        <w:t>Presidente</w:t>
      </w:r>
      <w:proofErr w:type="gramEnd"/>
      <w:r w:rsidRPr="00985B97">
        <w:rPr>
          <w:rFonts w:asciiTheme="majorHAnsi" w:hAnsiTheme="majorHAnsi" w:cstheme="majorHAnsi"/>
          <w:lang w:val="es-ES"/>
        </w:rPr>
        <w:t xml:space="preserve"> Petro en enero de 2024 sobre la suspensión de nuevos contratos de exploración de hidrocarburos tensionó la relación con partidos que representan departamentos petroleros. La caída del 7,8% en la producción de gas en 2023 y el conflicto entre el MME y el Ministerio de Hacienda sobre la política de hidrocarburos fragmentaron la coherencia del mensaje del ejecutivo ante el Congreso. El estudio de Taylor et al. (2025) documenta que el entonces </w:t>
      </w:r>
      <w:proofErr w:type="gramStart"/>
      <w:r w:rsidRPr="00985B97">
        <w:rPr>
          <w:rFonts w:asciiTheme="majorHAnsi" w:hAnsiTheme="majorHAnsi" w:cstheme="majorHAnsi"/>
          <w:lang w:val="es-ES"/>
        </w:rPr>
        <w:t>Ministro</w:t>
      </w:r>
      <w:proofErr w:type="gramEnd"/>
      <w:r w:rsidRPr="00985B97">
        <w:rPr>
          <w:rFonts w:asciiTheme="majorHAnsi" w:hAnsiTheme="majorHAnsi" w:cstheme="majorHAnsi"/>
          <w:lang w:val="es-ES"/>
        </w:rPr>
        <w:t xml:space="preserve"> de Minas, Andrés Camacho, evitaba respuestas concretas sobre los nuevos contratos ante el Congreso, mientras afirmaba públicamente que la transición es con la industria. Esta ambigüedad narrativa revela que el componente reputacional de la estrategia, es decir, el posicionamiento de la narrativa del sector minero-energético en el imaginario de los congresistas, no pudo funcionar efectivamente porque no existía una narrativa dentro del ejecutivo coherente que posicionar.</w:t>
      </w:r>
    </w:p>
    <w:p w14:paraId="4E595CB8" w14:textId="77777777" w:rsidR="00222BBC" w:rsidRPr="00985B97" w:rsidRDefault="004724DF" w:rsidP="00985B97">
      <w:pPr>
        <w:pStyle w:val="Ttulo3"/>
        <w:rPr>
          <w:rFonts w:asciiTheme="majorHAnsi" w:hAnsiTheme="majorHAnsi" w:cstheme="majorHAnsi"/>
          <w:sz w:val="22"/>
          <w:szCs w:val="22"/>
        </w:rPr>
      </w:pPr>
      <w:bookmarkStart w:id="167" w:name="_Toc235092568"/>
      <w:bookmarkStart w:id="168" w:name="_Toc235108012"/>
      <w:r w:rsidRPr="00985B97">
        <w:rPr>
          <w:rFonts w:asciiTheme="majorHAnsi" w:hAnsiTheme="majorHAnsi" w:cstheme="majorHAnsi"/>
          <w:sz w:val="22"/>
          <w:szCs w:val="22"/>
          <w:lang w:val="es-ES"/>
        </w:rPr>
        <w:t xml:space="preserve">1.2.2 </w:t>
      </w:r>
      <w:r w:rsidR="00222BBC" w:rsidRPr="00985B97">
        <w:rPr>
          <w:rFonts w:asciiTheme="majorHAnsi" w:hAnsiTheme="majorHAnsi" w:cstheme="majorHAnsi"/>
          <w:sz w:val="22"/>
          <w:szCs w:val="22"/>
        </w:rPr>
        <w:t>Evaluación de los componentes del método de relacionamiento legislativo</w:t>
      </w:r>
      <w:bookmarkEnd w:id="167"/>
      <w:bookmarkEnd w:id="168"/>
    </w:p>
    <w:p w14:paraId="5546D2B0" w14:textId="77777777" w:rsidR="004724DF" w:rsidRPr="00985B97" w:rsidRDefault="00222BBC" w:rsidP="00721806">
      <w:pPr>
        <w:pStyle w:val="Prrafodelista"/>
        <w:numPr>
          <w:ilvl w:val="0"/>
          <w:numId w:val="35"/>
        </w:numPr>
        <w:pBdr>
          <w:top w:val="nil"/>
          <w:left w:val="nil"/>
          <w:bottom w:val="nil"/>
          <w:right w:val="nil"/>
          <w:between w:val="nil"/>
        </w:pBdr>
        <w:spacing w:before="240" w:after="0"/>
        <w:ind w:left="426" w:hanging="426"/>
        <w:jc w:val="both"/>
        <w:rPr>
          <w:rFonts w:asciiTheme="majorHAnsi" w:hAnsiTheme="majorHAnsi" w:cstheme="majorHAnsi"/>
          <w:lang w:val="es-ES"/>
        </w:rPr>
      </w:pPr>
      <w:r w:rsidRPr="00985B97">
        <w:rPr>
          <w:rFonts w:asciiTheme="majorHAnsi" w:hAnsiTheme="majorHAnsi" w:cstheme="majorHAnsi"/>
          <w:b/>
          <w:bCs/>
          <w:lang w:val="es-ES"/>
        </w:rPr>
        <w:t xml:space="preserve">Análisis composicional: </w:t>
      </w:r>
      <w:r w:rsidRPr="00985B97">
        <w:rPr>
          <w:rFonts w:asciiTheme="majorHAnsi" w:hAnsiTheme="majorHAnsi" w:cstheme="majorHAnsi"/>
          <w:lang w:val="es-ES"/>
        </w:rPr>
        <w:t xml:space="preserve">El documento del MME plantea un mapeo de tres niveles analíticos: partido, tendencias internas e individuos, con una arquitectura sólida y alineada con lo que </w:t>
      </w:r>
      <w:proofErr w:type="spellStart"/>
      <w:r w:rsidRPr="00985B97">
        <w:rPr>
          <w:rFonts w:asciiTheme="majorHAnsi" w:hAnsiTheme="majorHAnsi" w:cstheme="majorHAnsi"/>
          <w:lang w:val="es-ES"/>
        </w:rPr>
        <w:t>Mainwaring</w:t>
      </w:r>
      <w:proofErr w:type="spellEnd"/>
      <w:r w:rsidRPr="00985B97">
        <w:rPr>
          <w:rFonts w:asciiTheme="majorHAnsi" w:hAnsiTheme="majorHAnsi" w:cstheme="majorHAnsi"/>
          <w:lang w:val="es-ES"/>
        </w:rPr>
        <w:t xml:space="preserve"> (1993) señala sobre la necesidad de comprender el comportamiento legislativo más allá de las líneas partidarias formales. Sin embargo, el análisis composicional presenta tres tensiones críticas que limitan su efectividad. La primera es su carácter estático: el documento lo define como un paso previo al desarrollo de los demás componentes, pero no establece mecanismos de actualización periódica del mapeo político. La composición efectiva del Congreso colombiano cambió radicalmente tras la </w:t>
      </w:r>
      <w:r w:rsidRPr="00985B97">
        <w:rPr>
          <w:rFonts w:asciiTheme="majorHAnsi" w:hAnsiTheme="majorHAnsi" w:cstheme="majorHAnsi"/>
          <w:lang w:val="es-ES"/>
        </w:rPr>
        <w:lastRenderedPageBreak/>
        <w:t>ruptura de la coalición en abril de 2023, invalidando las coordenadas previas. Un análisis composicional sin actualización dinámica reproduce el problema que pretende resolver. La segunda tensión es la ausencia de un mapa territorial sistemático que conecte las prioridades energéticas del MME con los intereses regionales de congresistas específicos. La tercera es el punto ciego de las facciones internas del Pacto Histórico, cuyas tensiones afectaron la coherencia de los votos del propio partido de gobierno en temas energéticos.</w:t>
      </w:r>
    </w:p>
    <w:p w14:paraId="190D8D98" w14:textId="77777777" w:rsidR="004724DF" w:rsidRPr="00985B97" w:rsidRDefault="004724DF" w:rsidP="00985B97">
      <w:pPr>
        <w:pStyle w:val="Prrafodelista"/>
        <w:pBdr>
          <w:top w:val="nil"/>
          <w:left w:val="nil"/>
          <w:bottom w:val="nil"/>
          <w:right w:val="nil"/>
          <w:between w:val="nil"/>
        </w:pBdr>
        <w:spacing w:before="240" w:after="0"/>
        <w:ind w:left="426"/>
        <w:jc w:val="both"/>
        <w:rPr>
          <w:rFonts w:asciiTheme="majorHAnsi" w:hAnsiTheme="majorHAnsi" w:cstheme="majorHAnsi"/>
          <w:lang w:val="es-ES"/>
        </w:rPr>
      </w:pPr>
    </w:p>
    <w:p w14:paraId="37FDCA06" w14:textId="77777777" w:rsidR="004724DF" w:rsidRPr="00985B97" w:rsidRDefault="00222BBC" w:rsidP="00721806">
      <w:pPr>
        <w:pStyle w:val="Prrafodelista"/>
        <w:numPr>
          <w:ilvl w:val="0"/>
          <w:numId w:val="35"/>
        </w:numPr>
        <w:pBdr>
          <w:top w:val="nil"/>
          <w:left w:val="nil"/>
          <w:bottom w:val="nil"/>
          <w:right w:val="nil"/>
          <w:between w:val="nil"/>
        </w:pBdr>
        <w:spacing w:before="240" w:after="0"/>
        <w:ind w:left="426" w:hanging="426"/>
        <w:jc w:val="both"/>
        <w:rPr>
          <w:rFonts w:asciiTheme="majorHAnsi" w:hAnsiTheme="majorHAnsi" w:cstheme="majorHAnsi"/>
          <w:lang w:val="es-ES"/>
        </w:rPr>
      </w:pPr>
      <w:r w:rsidRPr="00985B97">
        <w:rPr>
          <w:rFonts w:asciiTheme="majorHAnsi" w:hAnsiTheme="majorHAnsi" w:cstheme="majorHAnsi"/>
          <w:b/>
          <w:bCs/>
          <w:lang w:val="es-ES"/>
        </w:rPr>
        <w:t xml:space="preserve">Monitoreo: </w:t>
      </w:r>
      <w:r w:rsidRPr="00985B97">
        <w:rPr>
          <w:rFonts w:asciiTheme="majorHAnsi" w:hAnsiTheme="majorHAnsi" w:cstheme="majorHAnsi"/>
          <w:lang w:val="es-ES"/>
        </w:rPr>
        <w:t>Los tres mecanismos propuestos en la estrategia legislativa (presencia activa en comisiones, consulta de repositorios de información e intercambio con UTL y presidentes de comisión) permiten mantener una priorización de recursos y una distinción entre los espacios que requieren una presencia permanente (Comisiones Quinta y Sexta, plenarias) e intermitente. No obstante, el problema central del monitoreo está en que el sistema depende de los equipos que cada ministro designe. Con tres ministros en cuatro años en el MME, la memoria institucional del monitoreo se fragmenta con cada cambio. Herramientas como Congreso Visible registran iniciativas y votaciones, pero no capturan la dinámica informal de los debates ni los acuerdos que se construyen fuera de los espacios formales, dimensiones para las cuales el intercambio directo con las UTL es insustituible. Es necesario fortalecer la arquitectura institucional para sostener el diseño de la estrategia analítica legislativa.</w:t>
      </w:r>
    </w:p>
    <w:p w14:paraId="1E3C1ECD" w14:textId="77777777" w:rsidR="004724DF" w:rsidRPr="00985B97" w:rsidRDefault="004724DF" w:rsidP="00985B97">
      <w:pPr>
        <w:pStyle w:val="Prrafodelista"/>
        <w:rPr>
          <w:rFonts w:asciiTheme="majorHAnsi" w:hAnsiTheme="majorHAnsi" w:cstheme="majorHAnsi"/>
          <w:b/>
          <w:bCs/>
          <w:lang w:val="es-ES"/>
        </w:rPr>
      </w:pPr>
    </w:p>
    <w:p w14:paraId="0376510E" w14:textId="77777777" w:rsidR="004724DF" w:rsidRPr="00985B97" w:rsidRDefault="00222BBC" w:rsidP="00721806">
      <w:pPr>
        <w:pStyle w:val="Prrafodelista"/>
        <w:numPr>
          <w:ilvl w:val="0"/>
          <w:numId w:val="35"/>
        </w:numPr>
        <w:pBdr>
          <w:top w:val="nil"/>
          <w:left w:val="nil"/>
          <w:bottom w:val="nil"/>
          <w:right w:val="nil"/>
          <w:between w:val="nil"/>
        </w:pBdr>
        <w:spacing w:before="240" w:after="0"/>
        <w:ind w:left="426" w:hanging="426"/>
        <w:jc w:val="both"/>
        <w:rPr>
          <w:rFonts w:asciiTheme="majorHAnsi" w:hAnsiTheme="majorHAnsi" w:cstheme="majorHAnsi"/>
          <w:lang w:val="es-ES"/>
        </w:rPr>
      </w:pPr>
      <w:r w:rsidRPr="00985B97">
        <w:rPr>
          <w:rFonts w:asciiTheme="majorHAnsi" w:hAnsiTheme="majorHAnsi" w:cstheme="majorHAnsi"/>
          <w:b/>
          <w:bCs/>
          <w:lang w:val="es-ES"/>
        </w:rPr>
        <w:t>Relacionamiento:</w:t>
      </w:r>
      <w:r w:rsidRPr="00985B97">
        <w:rPr>
          <w:rFonts w:asciiTheme="majorHAnsi" w:hAnsiTheme="majorHAnsi" w:cstheme="majorHAnsi"/>
          <w:lang w:val="es-ES"/>
        </w:rPr>
        <w:t xml:space="preserve"> La tripartición en niveles técnico, político y reputacional es coherente con la definición de Rhodes (1990) sobre intercambio de recursos en redes de política pública. El nivel técnico (intercambio de estudios de impacto y conceptos con las UTL) se puede trasmitir a nivel institucional porque opera en el plano del análisis técnico-legal más que en el del capital político personal. El nivel político (diálogo con voceros de partido y presidentes de comisión) es el más vulnerable a la rotación ministerial y a los cambios en la presidencia de las comisiones al inicio de cada legislatura. El nivel reputacional es el más subestimado: la evidencia disponible muestra que el MME durante 2022-2026 enfrentó una crisis de coherencia narrativa, producida por las señales contradictorias del </w:t>
      </w:r>
      <w:proofErr w:type="gramStart"/>
      <w:r w:rsidRPr="00985B97">
        <w:rPr>
          <w:rFonts w:asciiTheme="majorHAnsi" w:hAnsiTheme="majorHAnsi" w:cstheme="majorHAnsi"/>
          <w:lang w:val="es-ES"/>
        </w:rPr>
        <w:t>Presidente</w:t>
      </w:r>
      <w:proofErr w:type="gramEnd"/>
      <w:r w:rsidRPr="00985B97">
        <w:rPr>
          <w:rFonts w:asciiTheme="majorHAnsi" w:hAnsiTheme="majorHAnsi" w:cstheme="majorHAnsi"/>
          <w:lang w:val="es-ES"/>
        </w:rPr>
        <w:t xml:space="preserve">, el Ministerio de Hacienda y el propio MME, que afectó la credibilidad </w:t>
      </w:r>
      <w:r w:rsidRPr="00985B97">
        <w:rPr>
          <w:rFonts w:asciiTheme="majorHAnsi" w:hAnsiTheme="majorHAnsi" w:cstheme="majorHAnsi"/>
          <w:lang w:val="es-ES"/>
        </w:rPr>
        <w:lastRenderedPageBreak/>
        <w:t xml:space="preserve">del posicionamiento ante el Congreso. Sin coherencia </w:t>
      </w:r>
      <w:proofErr w:type="spellStart"/>
      <w:r w:rsidRPr="00985B97">
        <w:rPr>
          <w:rFonts w:asciiTheme="majorHAnsi" w:hAnsiTheme="majorHAnsi" w:cstheme="majorHAnsi"/>
          <w:lang w:val="es-ES"/>
        </w:rPr>
        <w:t>intraejecutiva</w:t>
      </w:r>
      <w:proofErr w:type="spellEnd"/>
      <w:r w:rsidRPr="00985B97">
        <w:rPr>
          <w:rFonts w:asciiTheme="majorHAnsi" w:hAnsiTheme="majorHAnsi" w:cstheme="majorHAnsi"/>
          <w:lang w:val="es-ES"/>
        </w:rPr>
        <w:t xml:space="preserve">, el nivel reputacional no puede funcionar efectivamente. </w:t>
      </w:r>
    </w:p>
    <w:p w14:paraId="6D102A80" w14:textId="77777777" w:rsidR="004724DF" w:rsidRPr="00985B97" w:rsidRDefault="004724DF" w:rsidP="00985B97">
      <w:pPr>
        <w:pStyle w:val="Prrafodelista"/>
        <w:rPr>
          <w:rFonts w:asciiTheme="majorHAnsi" w:hAnsiTheme="majorHAnsi" w:cstheme="majorHAnsi"/>
          <w:b/>
          <w:bCs/>
          <w:lang w:val="es-ES"/>
        </w:rPr>
      </w:pPr>
    </w:p>
    <w:p w14:paraId="203B54FB" w14:textId="77777777" w:rsidR="004724DF" w:rsidRPr="00985B97" w:rsidRDefault="00222BBC" w:rsidP="00721806">
      <w:pPr>
        <w:pStyle w:val="Prrafodelista"/>
        <w:numPr>
          <w:ilvl w:val="0"/>
          <w:numId w:val="35"/>
        </w:numPr>
        <w:pBdr>
          <w:top w:val="nil"/>
          <w:left w:val="nil"/>
          <w:bottom w:val="nil"/>
          <w:right w:val="nil"/>
          <w:between w:val="nil"/>
        </w:pBdr>
        <w:spacing w:before="240" w:after="0"/>
        <w:ind w:left="426" w:hanging="426"/>
        <w:jc w:val="both"/>
        <w:rPr>
          <w:rFonts w:asciiTheme="majorHAnsi" w:hAnsiTheme="majorHAnsi" w:cstheme="majorHAnsi"/>
          <w:lang w:val="es-ES"/>
        </w:rPr>
      </w:pPr>
      <w:r w:rsidRPr="00985B97">
        <w:rPr>
          <w:rFonts w:asciiTheme="majorHAnsi" w:hAnsiTheme="majorHAnsi" w:cstheme="majorHAnsi"/>
          <w:b/>
          <w:bCs/>
          <w:lang w:val="es-ES"/>
        </w:rPr>
        <w:t>Gestión de amenazas:</w:t>
      </w:r>
      <w:r w:rsidRPr="00985B97">
        <w:rPr>
          <w:rFonts w:asciiTheme="majorHAnsi" w:hAnsiTheme="majorHAnsi" w:cstheme="majorHAnsi"/>
          <w:lang w:val="es-ES"/>
        </w:rPr>
        <w:t xml:space="preserve"> La Matriz de Riesgo </w:t>
      </w:r>
      <w:r w:rsidR="001D4B0A" w:rsidRPr="00985B97">
        <w:rPr>
          <w:rFonts w:asciiTheme="majorHAnsi" w:hAnsiTheme="majorHAnsi" w:cstheme="majorHAnsi"/>
          <w:lang w:val="es-ES"/>
        </w:rPr>
        <w:t>legislativo</w:t>
      </w:r>
      <w:r w:rsidRPr="00985B97">
        <w:rPr>
          <w:rFonts w:asciiTheme="majorHAnsi" w:hAnsiTheme="majorHAnsi" w:cstheme="majorHAnsi"/>
          <w:lang w:val="es-ES"/>
        </w:rPr>
        <w:t xml:space="preserve"> es un instrumento analítico que representa un avance significativo respecto a las prácticas ad hoc, sin embargo, la estrategia presenta una limitación conceptual: define las amenazas como iniciativas inconvenientes o discusiones políticas que carezcan de sustento técnico, sin distinguir entre amenazas a los intereses del sector privado minero-energético y amenazas a la política pública del MME, las cuales son categorías que en el gobierno Petro no siempre son convergentes, dado que la TEJ aspira precisamente a transformar la estructura de intereses del sector. Adicionalmente, el mecanismo de activación de terceros aliados para moderar las posturas radicales en las ponencias opera en una zona gris entre el lobby institucional legítimo del ejecutivo y el lobby gremial del sector privado, zona que en ausencia de regulación del cabildeo genera opacidad. El componente está íntegramente orientado a la contención reactiva, no a la construcción de consensos, lo que lo convierte en un sistema asimétrico e incompleto. </w:t>
      </w:r>
    </w:p>
    <w:p w14:paraId="1F37EAFE" w14:textId="77777777" w:rsidR="004724DF" w:rsidRPr="00985B97" w:rsidRDefault="004724DF" w:rsidP="00985B97">
      <w:pPr>
        <w:pStyle w:val="Prrafodelista"/>
        <w:rPr>
          <w:rFonts w:asciiTheme="majorHAnsi" w:hAnsiTheme="majorHAnsi" w:cstheme="majorHAnsi"/>
          <w:b/>
          <w:bCs/>
          <w:lang w:val="es-ES"/>
        </w:rPr>
      </w:pPr>
    </w:p>
    <w:p w14:paraId="3F3EC287" w14:textId="77777777" w:rsidR="00222BBC" w:rsidRPr="00985B97" w:rsidRDefault="00222BBC" w:rsidP="00721806">
      <w:pPr>
        <w:pStyle w:val="Prrafodelista"/>
        <w:numPr>
          <w:ilvl w:val="0"/>
          <w:numId w:val="35"/>
        </w:numPr>
        <w:pBdr>
          <w:top w:val="nil"/>
          <w:left w:val="nil"/>
          <w:bottom w:val="nil"/>
          <w:right w:val="nil"/>
          <w:between w:val="nil"/>
        </w:pBdr>
        <w:spacing w:before="240" w:after="0"/>
        <w:ind w:left="426" w:hanging="426"/>
        <w:jc w:val="both"/>
        <w:rPr>
          <w:rFonts w:asciiTheme="majorHAnsi" w:hAnsiTheme="majorHAnsi" w:cstheme="majorHAnsi"/>
          <w:lang w:val="es-ES"/>
        </w:rPr>
      </w:pPr>
      <w:r w:rsidRPr="00985B97">
        <w:rPr>
          <w:rFonts w:asciiTheme="majorHAnsi" w:hAnsiTheme="majorHAnsi" w:cstheme="majorHAnsi"/>
          <w:b/>
          <w:bCs/>
          <w:lang w:val="es-ES"/>
        </w:rPr>
        <w:t>Colaboración:</w:t>
      </w:r>
      <w:r w:rsidRPr="00985B97">
        <w:rPr>
          <w:rFonts w:asciiTheme="majorHAnsi" w:hAnsiTheme="majorHAnsi" w:cstheme="majorHAnsi"/>
          <w:lang w:val="es-ES"/>
        </w:rPr>
        <w:t xml:space="preserve"> El componente de gobernanza territorial representa una fortaleza significativa frente al relacionamiento legislativo formal porque incorpora la dimensión territorial como instrumento de legitimidad política. La estrategia de transformar al congresista de fiscalizador en corresponsable del resultado territorial en las zonas de influencia de proyectos energéticos es políticamente inteligente y coherente con el cuarto pilar de la TEJ (la justicia territorial) definido en el Diagnóstico Base del MME (2024). No obstante, este componente enfrenta el riesgo de captura instrumental por parte de intereses empresariales: al involucrar al congresista en las mesas de trabajo con comunidades afectadas por proyectos energéticos, la estrategia puede convertirse en un mecanismo de legitimación política de proyectos específicos más que en un instrumento de gobernanza territorial con enfoque de derechos.</w:t>
      </w:r>
    </w:p>
    <w:p w14:paraId="65B98DFB" w14:textId="77777777" w:rsidR="00222BBC" w:rsidRPr="00985B97" w:rsidRDefault="004724DF" w:rsidP="00985B97">
      <w:pPr>
        <w:pStyle w:val="Ttulo3"/>
        <w:rPr>
          <w:rFonts w:asciiTheme="majorHAnsi" w:hAnsiTheme="majorHAnsi" w:cstheme="majorHAnsi"/>
          <w:sz w:val="22"/>
          <w:szCs w:val="22"/>
        </w:rPr>
      </w:pPr>
      <w:bookmarkStart w:id="169" w:name="_Toc235092569"/>
      <w:bookmarkStart w:id="170" w:name="_Toc235108013"/>
      <w:r w:rsidRPr="00985B97">
        <w:rPr>
          <w:rFonts w:asciiTheme="majorHAnsi" w:hAnsiTheme="majorHAnsi" w:cstheme="majorHAnsi"/>
          <w:sz w:val="22"/>
          <w:szCs w:val="22"/>
          <w:lang w:val="es-ES"/>
        </w:rPr>
        <w:t xml:space="preserve">1.2.3 </w:t>
      </w:r>
      <w:r w:rsidR="00222BBC" w:rsidRPr="00985B97">
        <w:rPr>
          <w:rFonts w:asciiTheme="majorHAnsi" w:hAnsiTheme="majorHAnsi" w:cstheme="majorHAnsi"/>
          <w:sz w:val="22"/>
          <w:szCs w:val="22"/>
        </w:rPr>
        <w:t>Debilidades transversales</w:t>
      </w:r>
      <w:bookmarkEnd w:id="169"/>
      <w:bookmarkEnd w:id="170"/>
    </w:p>
    <w:p w14:paraId="1A88C754"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La estrategia de análisis legislativo presenta cuatro debilidades importantes:</w:t>
      </w:r>
    </w:p>
    <w:p w14:paraId="0C539FA2"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lastRenderedPageBreak/>
        <w:t xml:space="preserve">La primera es la ausencia de métricas de evaluación: el documento no establece indicadores de éxito, líneas base ni mecanismos de evaluación de impacto, por lo que es importante que el MME pueda demostrar a través de estas métricas que su estrategia de relacionamiento legislativo ha contribuido a la aprobación de iniciativas de la TEJ. Sin métricas, esta demostración es imposible. </w:t>
      </w:r>
    </w:p>
    <w:p w14:paraId="7F1FD394"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La segunda es la ausencia de un protocolo de gestión de cambios ministeriales: La rotación ministerial es el principal </w:t>
      </w:r>
      <w:proofErr w:type="spellStart"/>
      <w:r w:rsidRPr="00985B97">
        <w:rPr>
          <w:rFonts w:asciiTheme="majorHAnsi" w:hAnsiTheme="majorHAnsi" w:cstheme="majorHAnsi"/>
          <w:lang w:val="es-ES"/>
        </w:rPr>
        <w:t>disruptor</w:t>
      </w:r>
      <w:proofErr w:type="spellEnd"/>
      <w:r w:rsidRPr="00985B97">
        <w:rPr>
          <w:rFonts w:asciiTheme="majorHAnsi" w:hAnsiTheme="majorHAnsi" w:cstheme="majorHAnsi"/>
          <w:lang w:val="es-ES"/>
        </w:rPr>
        <w:t xml:space="preserve"> de la estrategia, como la evidencia empírica confirma con contundencia. La estrategia guarda silencio sobre cómo transferir el conocimiento y las relaciones acumuladas entre un ministro y el siguiente. Esta omisión convierte lo que pretende ser una estrategia institucional en una práctica personalista que se reinicia con cada cambio de titular. </w:t>
      </w:r>
    </w:p>
    <w:p w14:paraId="0304CAC8"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La tercera debilidad es la ausencia de coordinación interinstitucional explícita con otras carteras del ejecutivo: El CONPES 4075 (2022) distribuye 97 acciones de TEJ en 18 entidades. La estrategia del MME no contempla mecanismos de coordinación de posiciones con Hacienda, Ambiente, Cancillería o la Presidencia de la República antes de presentarlas ante el Congreso. Esta carencia es especialmente crítica dado que las tensiones entre el MME y el Ministerio de Hacienda sobre la política de hidrocarburos fueron documentadas y públicas. </w:t>
      </w:r>
    </w:p>
    <w:p w14:paraId="69E4116D"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La cuarta debilidad es la ausencia de diferenciación explícita entre agenda legislativa ofensiva (iniciativas propias del MME que se busca aprobar) y agenda defensiva (iniciativas de otros actores que se busca modificar o bloquear). La estrategia mezcla ambas funciones sin establecer prioridades claras ni recursos diferenciados, lo que puede generar confusión en los equipos de implementación y dificultar la asignación estratégica de energía institucional.</w:t>
      </w:r>
    </w:p>
    <w:p w14:paraId="6D7D7A55" w14:textId="77777777" w:rsidR="00222BBC" w:rsidRPr="00985B97" w:rsidRDefault="004724DF" w:rsidP="00985B97">
      <w:pPr>
        <w:pStyle w:val="Ttulo3"/>
        <w:rPr>
          <w:rFonts w:asciiTheme="majorHAnsi" w:hAnsiTheme="majorHAnsi" w:cstheme="majorHAnsi"/>
          <w:sz w:val="22"/>
          <w:szCs w:val="22"/>
          <w:lang w:val="es-ES"/>
        </w:rPr>
      </w:pPr>
      <w:bookmarkStart w:id="171" w:name="_Toc235092570"/>
      <w:bookmarkStart w:id="172" w:name="_Toc235108014"/>
      <w:r w:rsidRPr="00985B97">
        <w:rPr>
          <w:rFonts w:asciiTheme="majorHAnsi" w:hAnsiTheme="majorHAnsi" w:cstheme="majorHAnsi"/>
          <w:sz w:val="22"/>
          <w:szCs w:val="22"/>
        </w:rPr>
        <w:t>1.</w:t>
      </w:r>
      <w:r w:rsidR="00222BBC" w:rsidRPr="00985B97">
        <w:rPr>
          <w:rFonts w:asciiTheme="majorHAnsi" w:hAnsiTheme="majorHAnsi" w:cstheme="majorHAnsi"/>
          <w:sz w:val="22"/>
          <w:szCs w:val="22"/>
        </w:rPr>
        <w:t>2.4 Recomendaciones</w:t>
      </w:r>
      <w:bookmarkEnd w:id="171"/>
      <w:bookmarkEnd w:id="172"/>
    </w:p>
    <w:p w14:paraId="01CB09C4"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Las siguientes recomendaciones se derivan del análisis crítico de la estrategia y apuntan a fortalecer la capacidad institucional del MME para el relacionamiento legislativo en el mediano plazo, con independencia del gobierno de turno:</w:t>
      </w:r>
    </w:p>
    <w:p w14:paraId="6542537B"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Recomendación 1: Formalizar un protocolo de actualización dinámica del análisis composicional. El mapeo político debe revisarse trimestralmente con base en el comportamiento legislativo observable: votaciones, </w:t>
      </w:r>
      <w:r w:rsidRPr="00985B97">
        <w:rPr>
          <w:rFonts w:asciiTheme="majorHAnsi" w:hAnsiTheme="majorHAnsi" w:cstheme="majorHAnsi"/>
          <w:lang w:val="es-ES"/>
        </w:rPr>
        <w:lastRenderedPageBreak/>
        <w:t xml:space="preserve">intervenciones en debates, cambios de posición de partidos. Adicionalmente, el protocolo debe incluir un mecanismo de actualización automática ante eventos disruptivos como rupturas de coalición, cambios de liderazgo en comisiones, o resultados de elecciones locales que reconfiguran los alineamientos políticos. </w:t>
      </w:r>
    </w:p>
    <w:p w14:paraId="3C898721"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Recomendación 2: Incorporar métricas de evaluación a la estrategia. Definir indicadores de resultado (número de proyectos aprobados por legislatura, tasa de éxito en debates de control político, tiempo promedio de trámite de proyectos prioritarios) e indicadores de proceso (número de reuniones técnicas con UTL, calidad del intercambio de información, cobertura del monitoreo). Estos indicadores deben reportarse anualmente y servir como insumo para ajustar la estrategia. </w:t>
      </w:r>
    </w:p>
    <w:p w14:paraId="0311C79F"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Recomendación 3: Diseñar un protocolo de transferencia de conocimiento ministerial. Ante cada cambio de ministro, activar un protocolo de entrega de gestión legislativa que incluya: estado detallado de los proyectos en trámite y sus perspectivas de aprobación, mapeo actualizado de relaciones con congresistas clave, agenda legislativa pendiente con fechas críticas, alertas de riesgo activas, y memoria de los compromisos adquiridos con congresistas o partidos. Este protocolo debe ser obligatorio y verificable. </w:t>
      </w:r>
    </w:p>
    <w:p w14:paraId="64C6C586" w14:textId="58EA40D6" w:rsidR="00222BBC" w:rsidRPr="00A86834" w:rsidRDefault="00222BBC" w:rsidP="00A86834">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 xml:space="preserve">Recomendación 4: Fortalecer el nivel reputacional con coherencia </w:t>
      </w:r>
      <w:proofErr w:type="spellStart"/>
      <w:r w:rsidRPr="00985B97">
        <w:rPr>
          <w:rFonts w:asciiTheme="majorHAnsi" w:hAnsiTheme="majorHAnsi" w:cstheme="majorHAnsi"/>
          <w:lang w:val="es-ES"/>
        </w:rPr>
        <w:t>intraejecutiva</w:t>
      </w:r>
      <w:proofErr w:type="spellEnd"/>
      <w:r w:rsidRPr="00985B97">
        <w:rPr>
          <w:rFonts w:asciiTheme="majorHAnsi" w:hAnsiTheme="majorHAnsi" w:cstheme="majorHAnsi"/>
          <w:lang w:val="es-ES"/>
        </w:rPr>
        <w:t xml:space="preserve">. Antes de posicionar narrativas ante el Congreso, garantizar la alineación entre el MME, la Presidencia, el Ministerio de Hacienda y el Ministerio de Ambiente sobre los mensajes clave de la política de TEJ. La incoherencia </w:t>
      </w:r>
      <w:proofErr w:type="spellStart"/>
      <w:r w:rsidRPr="00985B97">
        <w:rPr>
          <w:rFonts w:asciiTheme="majorHAnsi" w:hAnsiTheme="majorHAnsi" w:cstheme="majorHAnsi"/>
          <w:lang w:val="es-ES"/>
        </w:rPr>
        <w:t>intraejecutiva</w:t>
      </w:r>
      <w:proofErr w:type="spellEnd"/>
      <w:r w:rsidRPr="00985B97">
        <w:rPr>
          <w:rFonts w:asciiTheme="majorHAnsi" w:hAnsiTheme="majorHAnsi" w:cstheme="majorHAnsi"/>
          <w:lang w:val="es-ES"/>
        </w:rPr>
        <w:t xml:space="preserve"> destruye la credibilidad del nivel reputacional de la estrategia y genera confusión en los congresistas que reciben mensajes contradictorios de diferentes carteras.</w:t>
      </w:r>
    </w:p>
    <w:p w14:paraId="38948B95" w14:textId="77777777" w:rsidR="00222BBC" w:rsidRPr="00985B97" w:rsidRDefault="00FF7AC3" w:rsidP="00721806">
      <w:pPr>
        <w:pStyle w:val="Ttulo2"/>
        <w:numPr>
          <w:ilvl w:val="1"/>
          <w:numId w:val="36"/>
        </w:numPr>
        <w:rPr>
          <w:rFonts w:asciiTheme="majorHAnsi" w:hAnsiTheme="majorHAnsi" w:cstheme="majorHAnsi"/>
          <w:sz w:val="22"/>
          <w:szCs w:val="22"/>
        </w:rPr>
      </w:pPr>
      <w:bookmarkStart w:id="173" w:name="_Toc235092571"/>
      <w:bookmarkStart w:id="174" w:name="_Toc235108015"/>
      <w:bookmarkEnd w:id="164"/>
      <w:r w:rsidRPr="00985B97">
        <w:rPr>
          <w:rFonts w:asciiTheme="majorHAnsi" w:hAnsiTheme="majorHAnsi" w:cstheme="majorHAnsi"/>
          <w:sz w:val="22"/>
          <w:szCs w:val="22"/>
        </w:rPr>
        <w:t>Benchmarking</w:t>
      </w:r>
      <w:bookmarkEnd w:id="173"/>
      <w:bookmarkEnd w:id="174"/>
    </w:p>
    <w:p w14:paraId="35BBAE2B" w14:textId="77777777" w:rsidR="00FF7AC3" w:rsidRPr="00985B97" w:rsidRDefault="00FF7AC3"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 xml:space="preserve">La Transición Energética Justa (TEJ) constituye uno de los desafíos de gobernanza más complejos del siglo XXI para los países en desarrollo. Su implementación no depende exclusivamente de la disponibilidad de recursos naturales o de la voluntad política del </w:t>
      </w:r>
      <w:r w:rsidR="001D4B0A" w:rsidRPr="00985B97">
        <w:rPr>
          <w:rFonts w:asciiTheme="majorHAnsi" w:hAnsiTheme="majorHAnsi" w:cstheme="majorHAnsi"/>
          <w:lang w:val="es-ES"/>
        </w:rPr>
        <w:t>ejecutivo</w:t>
      </w:r>
      <w:r w:rsidRPr="00985B97">
        <w:rPr>
          <w:rFonts w:asciiTheme="majorHAnsi" w:hAnsiTheme="majorHAnsi" w:cstheme="majorHAnsi"/>
          <w:lang w:val="es-ES"/>
        </w:rPr>
        <w:t xml:space="preserve">; requiere, ante todo, de una relación funcional y productiva entre el </w:t>
      </w:r>
      <w:r w:rsidR="001D4B0A" w:rsidRPr="00985B97">
        <w:rPr>
          <w:rFonts w:asciiTheme="majorHAnsi" w:hAnsiTheme="majorHAnsi" w:cstheme="majorHAnsi"/>
          <w:lang w:val="es-ES"/>
        </w:rPr>
        <w:t>ejecutivo</w:t>
      </w:r>
      <w:r w:rsidRPr="00985B97">
        <w:rPr>
          <w:rFonts w:asciiTheme="majorHAnsi" w:hAnsiTheme="majorHAnsi" w:cstheme="majorHAnsi"/>
          <w:lang w:val="es-ES"/>
        </w:rPr>
        <w:t xml:space="preserve"> y el </w:t>
      </w:r>
      <w:r w:rsidR="001D4B0A" w:rsidRPr="00985B97">
        <w:rPr>
          <w:rFonts w:asciiTheme="majorHAnsi" w:hAnsiTheme="majorHAnsi" w:cstheme="majorHAnsi"/>
          <w:lang w:val="es-ES"/>
        </w:rPr>
        <w:t>legislativo</w:t>
      </w:r>
      <w:r w:rsidRPr="00985B97">
        <w:rPr>
          <w:rFonts w:asciiTheme="majorHAnsi" w:hAnsiTheme="majorHAnsi" w:cstheme="majorHAnsi"/>
          <w:lang w:val="es-ES"/>
        </w:rPr>
        <w:t xml:space="preserve">. </w:t>
      </w:r>
    </w:p>
    <w:p w14:paraId="7C1575B1" w14:textId="77777777" w:rsidR="00FF7AC3" w:rsidRPr="00985B97" w:rsidRDefault="00FF7AC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La pregunta central que orienta esta investigación exige ir más allá del diagnóstico institucional colombiano para examinar, de qué manera otros países han enfrentado los mismos desafíos de coordinación entre el </w:t>
      </w:r>
      <w:r w:rsidR="001D4B0A" w:rsidRPr="00985B97">
        <w:rPr>
          <w:rFonts w:asciiTheme="majorHAnsi" w:hAnsiTheme="majorHAnsi" w:cstheme="majorHAnsi"/>
          <w:lang w:val="es-ES"/>
        </w:rPr>
        <w:t>ejecutivo</w:t>
      </w:r>
      <w:r w:rsidRPr="00985B97">
        <w:rPr>
          <w:rFonts w:asciiTheme="majorHAnsi" w:hAnsiTheme="majorHAnsi" w:cstheme="majorHAnsi"/>
          <w:lang w:val="es-ES"/>
        </w:rPr>
        <w:t xml:space="preserve"> y el </w:t>
      </w:r>
      <w:r w:rsidR="001D4B0A" w:rsidRPr="00985B97">
        <w:rPr>
          <w:rFonts w:asciiTheme="majorHAnsi" w:hAnsiTheme="majorHAnsi" w:cstheme="majorHAnsi"/>
          <w:lang w:val="es-ES"/>
        </w:rPr>
        <w:t>legislativo</w:t>
      </w:r>
      <w:r w:rsidRPr="00985B97">
        <w:rPr>
          <w:rFonts w:asciiTheme="majorHAnsi" w:hAnsiTheme="majorHAnsi" w:cstheme="majorHAnsi"/>
          <w:lang w:val="es-ES"/>
        </w:rPr>
        <w:t xml:space="preserve"> en la formulación de políticas de transición energética justa. </w:t>
      </w:r>
      <w:r w:rsidRPr="00985B97">
        <w:rPr>
          <w:rFonts w:asciiTheme="majorHAnsi" w:hAnsiTheme="majorHAnsi" w:cstheme="majorHAnsi"/>
          <w:lang w:val="es-ES"/>
        </w:rPr>
        <w:lastRenderedPageBreak/>
        <w:t xml:space="preserve">Por lo anterior, este capítulo desarrolla un ejercicio de benchmarking institucional a partir de cuatro casos seleccionados —Brasil, Chile, España y México— que permiten abordar la importancia del análisis estratégico legislativo en el relacionamiento con el Congreso desde el ejecutivo y sus efectos de cara a las políticas de transición energética. </w:t>
      </w:r>
    </w:p>
    <w:p w14:paraId="5E5111D7" w14:textId="77777777" w:rsidR="00FF7AC3" w:rsidRPr="00985B97" w:rsidRDefault="00FF7AC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Este apartado aborda los casos de Brasil, Chile y México, como sistemas presidencialistas latinoamericanos con economías extractivas y se organiza en torno a cuatro dimensiones comparativas: (i) el grado de institucionalización de los mecanismos de coordinación ejecutivo-legislativo; (</w:t>
      </w:r>
      <w:proofErr w:type="spellStart"/>
      <w:r w:rsidRPr="00985B97">
        <w:rPr>
          <w:rFonts w:asciiTheme="majorHAnsi" w:hAnsiTheme="majorHAnsi" w:cstheme="majorHAnsi"/>
          <w:lang w:val="es-ES"/>
        </w:rPr>
        <w:t>ii</w:t>
      </w:r>
      <w:proofErr w:type="spellEnd"/>
      <w:r w:rsidRPr="00985B97">
        <w:rPr>
          <w:rFonts w:asciiTheme="majorHAnsi" w:hAnsiTheme="majorHAnsi" w:cstheme="majorHAnsi"/>
          <w:lang w:val="es-ES"/>
        </w:rPr>
        <w:t xml:space="preserve">) las capacidades de análisis estratégico legislativo en el </w:t>
      </w:r>
      <w:r w:rsidR="001D4B0A" w:rsidRPr="00985B97">
        <w:rPr>
          <w:rFonts w:asciiTheme="majorHAnsi" w:hAnsiTheme="majorHAnsi" w:cstheme="majorHAnsi"/>
          <w:lang w:val="es-ES"/>
        </w:rPr>
        <w:t>ejecutivo</w:t>
      </w:r>
      <w:r w:rsidRPr="00985B97">
        <w:rPr>
          <w:rFonts w:asciiTheme="majorHAnsi" w:hAnsiTheme="majorHAnsi" w:cstheme="majorHAnsi"/>
          <w:lang w:val="es-ES"/>
        </w:rPr>
        <w:t xml:space="preserve"> y en el </w:t>
      </w:r>
      <w:r w:rsidR="001D4B0A" w:rsidRPr="00985B97">
        <w:rPr>
          <w:rFonts w:asciiTheme="majorHAnsi" w:hAnsiTheme="majorHAnsi" w:cstheme="majorHAnsi"/>
          <w:lang w:val="es-ES"/>
        </w:rPr>
        <w:t>legislativo</w:t>
      </w:r>
      <w:r w:rsidRPr="00985B97">
        <w:rPr>
          <w:rFonts w:asciiTheme="majorHAnsi" w:hAnsiTheme="majorHAnsi" w:cstheme="majorHAnsi"/>
          <w:lang w:val="es-ES"/>
        </w:rPr>
        <w:t>; (</w:t>
      </w:r>
      <w:proofErr w:type="spellStart"/>
      <w:r w:rsidRPr="00985B97">
        <w:rPr>
          <w:rFonts w:asciiTheme="majorHAnsi" w:hAnsiTheme="majorHAnsi" w:cstheme="majorHAnsi"/>
          <w:lang w:val="es-ES"/>
        </w:rPr>
        <w:t>iii</w:t>
      </w:r>
      <w:proofErr w:type="spellEnd"/>
      <w:r w:rsidRPr="00985B97">
        <w:rPr>
          <w:rFonts w:asciiTheme="majorHAnsi" w:hAnsiTheme="majorHAnsi" w:cstheme="majorHAnsi"/>
          <w:lang w:val="es-ES"/>
        </w:rPr>
        <w:t>) la estabilidad regulatoria de la política energética; y (</w:t>
      </w:r>
      <w:proofErr w:type="spellStart"/>
      <w:r w:rsidRPr="00985B97">
        <w:rPr>
          <w:rFonts w:asciiTheme="majorHAnsi" w:hAnsiTheme="majorHAnsi" w:cstheme="majorHAnsi"/>
          <w:lang w:val="es-ES"/>
        </w:rPr>
        <w:t>iv</w:t>
      </w:r>
      <w:proofErr w:type="spellEnd"/>
      <w:r w:rsidRPr="00985B97">
        <w:rPr>
          <w:rFonts w:asciiTheme="majorHAnsi" w:hAnsiTheme="majorHAnsi" w:cstheme="majorHAnsi"/>
          <w:lang w:val="es-ES"/>
        </w:rPr>
        <w:t xml:space="preserve">) los resultados observables en la producción legislativa de transición energética. En cada caso se identifican las brechas respecto al escenario colombiano y las lecciones institucionales que son de gran importancia para el caso de estudio.  </w:t>
      </w:r>
    </w:p>
    <w:p w14:paraId="67265FC3" w14:textId="77777777" w:rsidR="000F370F" w:rsidRPr="00985B97" w:rsidRDefault="004724DF" w:rsidP="00985B97">
      <w:pPr>
        <w:pStyle w:val="Ttulo3"/>
        <w:rPr>
          <w:rFonts w:asciiTheme="majorHAnsi" w:hAnsiTheme="majorHAnsi" w:cstheme="majorHAnsi"/>
          <w:sz w:val="22"/>
          <w:szCs w:val="22"/>
        </w:rPr>
      </w:pPr>
      <w:bookmarkStart w:id="175" w:name="_Toc235092572"/>
      <w:bookmarkStart w:id="176" w:name="_Toc235108016"/>
      <w:bookmarkStart w:id="177" w:name="_Hlk234682884"/>
      <w:r w:rsidRPr="00985B97">
        <w:rPr>
          <w:rFonts w:asciiTheme="majorHAnsi" w:hAnsiTheme="majorHAnsi" w:cstheme="majorHAnsi"/>
          <w:sz w:val="22"/>
          <w:szCs w:val="22"/>
        </w:rPr>
        <w:t>2</w:t>
      </w:r>
      <w:r w:rsidR="00FF7AC3" w:rsidRPr="00985B97">
        <w:rPr>
          <w:rFonts w:asciiTheme="majorHAnsi" w:hAnsiTheme="majorHAnsi" w:cstheme="majorHAnsi"/>
          <w:sz w:val="22"/>
          <w:szCs w:val="22"/>
        </w:rPr>
        <w:t>.1</w:t>
      </w:r>
      <w:r w:rsidR="00222BBC" w:rsidRPr="00985B97">
        <w:rPr>
          <w:rFonts w:asciiTheme="majorHAnsi" w:hAnsiTheme="majorHAnsi" w:cstheme="majorHAnsi"/>
          <w:sz w:val="22"/>
          <w:szCs w:val="22"/>
        </w:rPr>
        <w:t>.1</w:t>
      </w:r>
      <w:r w:rsidR="00FF7AC3" w:rsidRPr="00985B97">
        <w:rPr>
          <w:rFonts w:asciiTheme="majorHAnsi" w:hAnsiTheme="majorHAnsi" w:cstheme="majorHAnsi"/>
          <w:sz w:val="22"/>
          <w:szCs w:val="22"/>
        </w:rPr>
        <w:t xml:space="preserve"> Brasil: presidencialismo de coalición e institucionalización del análisis legislativo</w:t>
      </w:r>
      <w:bookmarkEnd w:id="175"/>
      <w:bookmarkEnd w:id="176"/>
    </w:p>
    <w:p w14:paraId="4634A2F1" w14:textId="77777777" w:rsidR="00622B8B" w:rsidRPr="00985B97" w:rsidRDefault="00622B8B"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El sistema político brasileño, </w:t>
      </w:r>
      <w:r w:rsidR="001D4B0A" w:rsidRPr="00985B97">
        <w:rPr>
          <w:rFonts w:asciiTheme="majorHAnsi" w:hAnsiTheme="majorHAnsi" w:cstheme="majorHAnsi"/>
          <w:lang w:val="es-ES"/>
        </w:rPr>
        <w:t>instaurado mediante</w:t>
      </w:r>
      <w:r w:rsidRPr="00985B97">
        <w:rPr>
          <w:rFonts w:asciiTheme="majorHAnsi" w:hAnsiTheme="majorHAnsi" w:cstheme="majorHAnsi"/>
          <w:lang w:val="es-ES"/>
        </w:rPr>
        <w:t xml:space="preserve"> la Constitución Federal de 1988 (art. 84), corresponde un presidencialismo de coalición</w:t>
      </w:r>
      <w:r w:rsidR="001D4B0A" w:rsidRPr="00985B97">
        <w:rPr>
          <w:rFonts w:asciiTheme="majorHAnsi" w:hAnsiTheme="majorHAnsi" w:cstheme="majorHAnsi"/>
          <w:lang w:val="es-ES"/>
        </w:rPr>
        <w:t xml:space="preserve"> (Figueiredo y </w:t>
      </w:r>
      <w:proofErr w:type="spellStart"/>
      <w:r w:rsidR="001D4B0A" w:rsidRPr="00985B97">
        <w:rPr>
          <w:rFonts w:asciiTheme="majorHAnsi" w:hAnsiTheme="majorHAnsi" w:cstheme="majorHAnsi"/>
          <w:lang w:val="es-ES"/>
        </w:rPr>
        <w:t>Limongi</w:t>
      </w:r>
      <w:proofErr w:type="spellEnd"/>
      <w:r w:rsidR="001D4B0A" w:rsidRPr="00985B97">
        <w:rPr>
          <w:rFonts w:asciiTheme="majorHAnsi" w:hAnsiTheme="majorHAnsi" w:cstheme="majorHAnsi"/>
          <w:lang w:val="es-ES"/>
        </w:rPr>
        <w:t>, 1999),</w:t>
      </w:r>
      <w:r w:rsidRPr="00985B97">
        <w:rPr>
          <w:rFonts w:asciiTheme="majorHAnsi" w:hAnsiTheme="majorHAnsi" w:cstheme="majorHAnsi"/>
          <w:lang w:val="es-ES"/>
        </w:rPr>
        <w:t xml:space="preserve"> un arreglo institucional en el que el </w:t>
      </w:r>
      <w:r w:rsidR="001D4B0A" w:rsidRPr="00985B97">
        <w:rPr>
          <w:rFonts w:asciiTheme="majorHAnsi" w:hAnsiTheme="majorHAnsi" w:cstheme="majorHAnsi"/>
          <w:lang w:val="es-ES"/>
        </w:rPr>
        <w:t>ejecutivo</w:t>
      </w:r>
      <w:r w:rsidRPr="00985B97">
        <w:rPr>
          <w:rFonts w:asciiTheme="majorHAnsi" w:hAnsiTheme="majorHAnsi" w:cstheme="majorHAnsi"/>
          <w:lang w:val="es-ES"/>
        </w:rPr>
        <w:t xml:space="preserve"> controla la agenda legislativa </w:t>
      </w:r>
      <w:r w:rsidR="00717B21" w:rsidRPr="00985B97">
        <w:rPr>
          <w:rFonts w:asciiTheme="majorHAnsi" w:hAnsiTheme="majorHAnsi" w:cstheme="majorHAnsi"/>
          <w:lang w:val="es-ES"/>
        </w:rPr>
        <w:t>a través de</w:t>
      </w:r>
      <w:r w:rsidRPr="00985B97">
        <w:rPr>
          <w:rFonts w:asciiTheme="majorHAnsi" w:hAnsiTheme="majorHAnsi" w:cstheme="majorHAnsi"/>
          <w:lang w:val="es-ES"/>
        </w:rPr>
        <w:t xml:space="preserve"> medidas provisorias (art. 62 CF/88), regímenes de urgencia constitucional y la distribución de carteras ministeriales entre los partidos que integran la base de apoyo, sin que </w:t>
      </w:r>
      <w:r w:rsidR="00717B21" w:rsidRPr="00985B97">
        <w:rPr>
          <w:rFonts w:asciiTheme="majorHAnsi" w:hAnsiTheme="majorHAnsi" w:cstheme="majorHAnsi"/>
          <w:lang w:val="es-ES"/>
        </w:rPr>
        <w:t>esto</w:t>
      </w:r>
      <w:r w:rsidRPr="00985B97">
        <w:rPr>
          <w:rFonts w:asciiTheme="majorHAnsi" w:hAnsiTheme="majorHAnsi" w:cstheme="majorHAnsi"/>
          <w:lang w:val="es-ES"/>
        </w:rPr>
        <w:t xml:space="preserve"> elimine la necesidad de negociación permanente con el Congreso. El presidente nombra a los ministros que coordinan las políticas sectoriales, pero depende de esa base de apoyo, construida partido por partido, para convertir sus </w:t>
      </w:r>
      <w:r w:rsidR="00717B21" w:rsidRPr="00985B97">
        <w:rPr>
          <w:rFonts w:asciiTheme="majorHAnsi" w:hAnsiTheme="majorHAnsi" w:cstheme="majorHAnsi"/>
          <w:lang w:val="es-ES"/>
        </w:rPr>
        <w:t>iniciativas</w:t>
      </w:r>
      <w:r w:rsidRPr="00985B97">
        <w:rPr>
          <w:rFonts w:asciiTheme="majorHAnsi" w:hAnsiTheme="majorHAnsi" w:cstheme="majorHAnsi"/>
          <w:lang w:val="es-ES"/>
        </w:rPr>
        <w:t xml:space="preserve"> en leyes.</w:t>
      </w:r>
    </w:p>
    <w:p w14:paraId="6C5BCEFD" w14:textId="77777777" w:rsidR="00622B8B" w:rsidRPr="00985B97" w:rsidRDefault="00622B8B"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Bajo la presidencia de </w:t>
      </w:r>
      <w:proofErr w:type="spellStart"/>
      <w:r w:rsidRPr="00985B97">
        <w:rPr>
          <w:rFonts w:asciiTheme="majorHAnsi" w:hAnsiTheme="majorHAnsi" w:cstheme="majorHAnsi"/>
          <w:lang w:val="es-ES"/>
        </w:rPr>
        <w:t>Luiz</w:t>
      </w:r>
      <w:proofErr w:type="spellEnd"/>
      <w:r w:rsidRPr="00985B97">
        <w:rPr>
          <w:rFonts w:asciiTheme="majorHAnsi" w:hAnsiTheme="majorHAnsi" w:cstheme="majorHAnsi"/>
          <w:lang w:val="es-ES"/>
        </w:rPr>
        <w:t xml:space="preserve"> </w:t>
      </w:r>
      <w:proofErr w:type="spellStart"/>
      <w:r w:rsidRPr="00985B97">
        <w:rPr>
          <w:rFonts w:asciiTheme="majorHAnsi" w:hAnsiTheme="majorHAnsi" w:cstheme="majorHAnsi"/>
          <w:lang w:val="es-ES"/>
        </w:rPr>
        <w:t>Inácio</w:t>
      </w:r>
      <w:proofErr w:type="spellEnd"/>
      <w:r w:rsidRPr="00985B97">
        <w:rPr>
          <w:rFonts w:asciiTheme="majorHAnsi" w:hAnsiTheme="majorHAnsi" w:cstheme="majorHAnsi"/>
          <w:lang w:val="es-ES"/>
        </w:rPr>
        <w:t xml:space="preserve"> Lula da Silva (2023-2026), esa base de apoyo integró al Partido dos </w:t>
      </w:r>
      <w:proofErr w:type="spellStart"/>
      <w:r w:rsidRPr="00985B97">
        <w:rPr>
          <w:rFonts w:asciiTheme="majorHAnsi" w:hAnsiTheme="majorHAnsi" w:cstheme="majorHAnsi"/>
          <w:lang w:val="es-ES"/>
        </w:rPr>
        <w:t>Trabalhadores</w:t>
      </w:r>
      <w:proofErr w:type="spellEnd"/>
      <w:r w:rsidRPr="00985B97">
        <w:rPr>
          <w:rFonts w:asciiTheme="majorHAnsi" w:hAnsiTheme="majorHAnsi" w:cstheme="majorHAnsi"/>
          <w:lang w:val="es-ES"/>
        </w:rPr>
        <w:t xml:space="preserve"> (PT) con un conjunto heterogéneo de partidos de centro y derecha</w:t>
      </w:r>
      <w:r w:rsidR="00717B21" w:rsidRPr="00985B97">
        <w:rPr>
          <w:rFonts w:asciiTheme="majorHAnsi" w:hAnsiTheme="majorHAnsi" w:cstheme="majorHAnsi"/>
          <w:lang w:val="es-ES"/>
        </w:rPr>
        <w:t xml:space="preserve">, </w:t>
      </w:r>
      <w:r w:rsidRPr="00985B97">
        <w:rPr>
          <w:rFonts w:asciiTheme="majorHAnsi" w:hAnsiTheme="majorHAnsi" w:cstheme="majorHAnsi"/>
          <w:lang w:val="es-ES"/>
        </w:rPr>
        <w:t>conocido como "</w:t>
      </w:r>
      <w:proofErr w:type="spellStart"/>
      <w:r w:rsidRPr="00985B97">
        <w:rPr>
          <w:rFonts w:asciiTheme="majorHAnsi" w:hAnsiTheme="majorHAnsi" w:cstheme="majorHAnsi"/>
          <w:lang w:val="es-ES"/>
        </w:rPr>
        <w:t>Centrão</w:t>
      </w:r>
      <w:proofErr w:type="spellEnd"/>
      <w:r w:rsidRPr="00985B97">
        <w:rPr>
          <w:rFonts w:asciiTheme="majorHAnsi" w:hAnsiTheme="majorHAnsi" w:cstheme="majorHAnsi"/>
          <w:lang w:val="es-ES"/>
        </w:rPr>
        <w:t xml:space="preserve">", </w:t>
      </w:r>
      <w:r w:rsidR="00717B21" w:rsidRPr="00985B97">
        <w:rPr>
          <w:rFonts w:asciiTheme="majorHAnsi" w:hAnsiTheme="majorHAnsi" w:cstheme="majorHAnsi"/>
          <w:lang w:val="es-ES"/>
        </w:rPr>
        <w:t>que</w:t>
      </w:r>
      <w:r w:rsidRPr="00985B97">
        <w:rPr>
          <w:rFonts w:asciiTheme="majorHAnsi" w:hAnsiTheme="majorHAnsi" w:cstheme="majorHAnsi"/>
          <w:lang w:val="es-ES"/>
        </w:rPr>
        <w:t xml:space="preserve"> ha fluctuado a lo largo de la legislatura según las adhesiones y rupturas partidarias posteriores a cada elección</w:t>
      </w:r>
      <w:r w:rsidR="00717B21" w:rsidRPr="00985B97">
        <w:rPr>
          <w:rFonts w:asciiTheme="majorHAnsi" w:hAnsiTheme="majorHAnsi" w:cstheme="majorHAnsi"/>
          <w:lang w:val="es-ES"/>
        </w:rPr>
        <w:t>. E</w:t>
      </w:r>
      <w:r w:rsidRPr="00985B97">
        <w:rPr>
          <w:rFonts w:asciiTheme="majorHAnsi" w:hAnsiTheme="majorHAnsi" w:cstheme="majorHAnsi"/>
          <w:lang w:val="es-ES"/>
        </w:rPr>
        <w:t>l mecanismo distributivo que sostiene es</w:t>
      </w:r>
      <w:r w:rsidR="00717B21" w:rsidRPr="00985B97">
        <w:rPr>
          <w:rFonts w:asciiTheme="majorHAnsi" w:hAnsiTheme="majorHAnsi" w:cstheme="majorHAnsi"/>
          <w:lang w:val="es-ES"/>
        </w:rPr>
        <w:t>t</w:t>
      </w:r>
      <w:r w:rsidRPr="00985B97">
        <w:rPr>
          <w:rFonts w:asciiTheme="majorHAnsi" w:hAnsiTheme="majorHAnsi" w:cstheme="majorHAnsi"/>
          <w:lang w:val="es-ES"/>
        </w:rPr>
        <w:t>a coalición</w:t>
      </w:r>
      <w:r w:rsidR="00717B21" w:rsidRPr="00985B97">
        <w:rPr>
          <w:rFonts w:asciiTheme="majorHAnsi" w:hAnsiTheme="majorHAnsi" w:cstheme="majorHAnsi"/>
          <w:lang w:val="es-ES"/>
        </w:rPr>
        <w:t xml:space="preserve"> es</w:t>
      </w:r>
      <w:r w:rsidRPr="00985B97">
        <w:rPr>
          <w:rFonts w:asciiTheme="majorHAnsi" w:hAnsiTheme="majorHAnsi" w:cstheme="majorHAnsi"/>
          <w:lang w:val="es-ES"/>
        </w:rPr>
        <w:t xml:space="preserve"> la asignación de emendas parlamentares</w:t>
      </w:r>
      <w:r w:rsidR="00717B21" w:rsidRPr="00985B97">
        <w:rPr>
          <w:rFonts w:asciiTheme="majorHAnsi" w:hAnsiTheme="majorHAnsi" w:cstheme="majorHAnsi"/>
          <w:lang w:val="es-ES"/>
        </w:rPr>
        <w:t xml:space="preserve"> o </w:t>
      </w:r>
      <w:r w:rsidRPr="00985B97">
        <w:rPr>
          <w:rFonts w:asciiTheme="majorHAnsi" w:hAnsiTheme="majorHAnsi" w:cstheme="majorHAnsi"/>
          <w:lang w:val="es-ES"/>
        </w:rPr>
        <w:t>partidas presupuestarias de ejecución directa en los distritos y municipios</w:t>
      </w:r>
      <w:r w:rsidR="00717B21" w:rsidRPr="00985B97">
        <w:rPr>
          <w:rFonts w:asciiTheme="majorHAnsi" w:hAnsiTheme="majorHAnsi" w:cstheme="majorHAnsi"/>
          <w:lang w:val="es-ES"/>
        </w:rPr>
        <w:t>,</w:t>
      </w:r>
      <w:r w:rsidRPr="00985B97">
        <w:rPr>
          <w:rFonts w:asciiTheme="majorHAnsi" w:hAnsiTheme="majorHAnsi" w:cstheme="majorHAnsi"/>
          <w:lang w:val="es-ES"/>
        </w:rPr>
        <w:t xml:space="preserve"> a cambio de disciplina de voto en temas prioritarios </w:t>
      </w:r>
      <w:r w:rsidR="00717B21" w:rsidRPr="00985B97">
        <w:rPr>
          <w:rFonts w:asciiTheme="majorHAnsi" w:hAnsiTheme="majorHAnsi" w:cstheme="majorHAnsi"/>
          <w:lang w:val="es-ES"/>
        </w:rPr>
        <w:t xml:space="preserve">para </w:t>
      </w:r>
      <w:r w:rsidRPr="00985B97">
        <w:rPr>
          <w:rFonts w:asciiTheme="majorHAnsi" w:hAnsiTheme="majorHAnsi" w:cstheme="majorHAnsi"/>
          <w:lang w:val="es-ES"/>
        </w:rPr>
        <w:t xml:space="preserve">el </w:t>
      </w:r>
      <w:r w:rsidR="001D4B0A" w:rsidRPr="00985B97">
        <w:rPr>
          <w:rFonts w:asciiTheme="majorHAnsi" w:hAnsiTheme="majorHAnsi" w:cstheme="majorHAnsi"/>
          <w:lang w:val="es-ES"/>
        </w:rPr>
        <w:t>ejecutivo</w:t>
      </w:r>
      <w:r w:rsidRPr="00985B97">
        <w:rPr>
          <w:rFonts w:asciiTheme="majorHAnsi" w:hAnsiTheme="majorHAnsi" w:cstheme="majorHAnsi"/>
          <w:lang w:val="es-ES"/>
        </w:rPr>
        <w:t>, inclu</w:t>
      </w:r>
      <w:r w:rsidR="00717B21" w:rsidRPr="00985B97">
        <w:rPr>
          <w:rFonts w:asciiTheme="majorHAnsi" w:hAnsiTheme="majorHAnsi" w:cstheme="majorHAnsi"/>
          <w:lang w:val="es-ES"/>
        </w:rPr>
        <w:t xml:space="preserve">yendo </w:t>
      </w:r>
      <w:r w:rsidRPr="00985B97">
        <w:rPr>
          <w:rFonts w:asciiTheme="majorHAnsi" w:hAnsiTheme="majorHAnsi" w:cstheme="majorHAnsi"/>
          <w:lang w:val="es-ES"/>
        </w:rPr>
        <w:t>los proyectos de transición energética.</w:t>
      </w:r>
    </w:p>
    <w:p w14:paraId="1920BF24" w14:textId="77777777" w:rsidR="00622B8B" w:rsidRPr="00985B97" w:rsidRDefault="00717B21"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lastRenderedPageBreak/>
        <w:t>A nivel</w:t>
      </w:r>
      <w:r w:rsidR="00622B8B" w:rsidRPr="00985B97">
        <w:rPr>
          <w:rFonts w:asciiTheme="majorHAnsi" w:hAnsiTheme="majorHAnsi" w:cstheme="majorHAnsi"/>
          <w:lang w:val="es-ES"/>
        </w:rPr>
        <w:t xml:space="preserve"> institucional</w:t>
      </w:r>
      <w:r w:rsidRPr="00985B97">
        <w:rPr>
          <w:rFonts w:asciiTheme="majorHAnsi" w:hAnsiTheme="majorHAnsi" w:cstheme="majorHAnsi"/>
          <w:lang w:val="es-ES"/>
        </w:rPr>
        <w:t>,</w:t>
      </w:r>
      <w:r w:rsidR="00622B8B" w:rsidRPr="00985B97">
        <w:rPr>
          <w:rFonts w:asciiTheme="majorHAnsi" w:hAnsiTheme="majorHAnsi" w:cstheme="majorHAnsi"/>
          <w:lang w:val="es-ES"/>
        </w:rPr>
        <w:t xml:space="preserve"> el sector energético brasileño </w:t>
      </w:r>
      <w:r w:rsidRPr="00985B97">
        <w:rPr>
          <w:rFonts w:asciiTheme="majorHAnsi" w:hAnsiTheme="majorHAnsi" w:cstheme="majorHAnsi"/>
          <w:lang w:val="es-ES"/>
        </w:rPr>
        <w:t>cuenta con</w:t>
      </w:r>
      <w:r w:rsidR="00622B8B" w:rsidRPr="00985B97">
        <w:rPr>
          <w:rFonts w:asciiTheme="majorHAnsi" w:hAnsiTheme="majorHAnsi" w:cstheme="majorHAnsi"/>
          <w:lang w:val="es-ES"/>
        </w:rPr>
        <w:t xml:space="preserve"> </w:t>
      </w:r>
      <w:r w:rsidRPr="00985B97">
        <w:rPr>
          <w:rFonts w:asciiTheme="majorHAnsi" w:hAnsiTheme="majorHAnsi" w:cstheme="majorHAnsi"/>
          <w:lang w:val="es-ES"/>
        </w:rPr>
        <w:t>un</w:t>
      </w:r>
      <w:r w:rsidR="00622B8B" w:rsidRPr="00985B97">
        <w:rPr>
          <w:rFonts w:asciiTheme="majorHAnsi" w:hAnsiTheme="majorHAnsi" w:cstheme="majorHAnsi"/>
          <w:lang w:val="es-ES"/>
        </w:rPr>
        <w:t xml:space="preserve"> </w:t>
      </w:r>
      <w:proofErr w:type="spellStart"/>
      <w:r w:rsidR="00622B8B" w:rsidRPr="00985B97">
        <w:rPr>
          <w:rFonts w:asciiTheme="majorHAnsi" w:hAnsiTheme="majorHAnsi" w:cstheme="majorHAnsi"/>
          <w:lang w:val="es-ES"/>
        </w:rPr>
        <w:t>Conselho</w:t>
      </w:r>
      <w:proofErr w:type="spellEnd"/>
      <w:r w:rsidR="00622B8B" w:rsidRPr="00985B97">
        <w:rPr>
          <w:rFonts w:asciiTheme="majorHAnsi" w:hAnsiTheme="majorHAnsi" w:cstheme="majorHAnsi"/>
          <w:lang w:val="es-ES"/>
        </w:rPr>
        <w:t xml:space="preserve"> Nacional de Política Energética (CNPE), creado por la </w:t>
      </w:r>
      <w:proofErr w:type="spellStart"/>
      <w:r w:rsidR="00622B8B" w:rsidRPr="00985B97">
        <w:rPr>
          <w:rFonts w:asciiTheme="majorHAnsi" w:hAnsiTheme="majorHAnsi" w:cstheme="majorHAnsi"/>
          <w:lang w:val="es-ES"/>
        </w:rPr>
        <w:t>Lei</w:t>
      </w:r>
      <w:proofErr w:type="spellEnd"/>
      <w:r w:rsidR="00622B8B" w:rsidRPr="00985B97">
        <w:rPr>
          <w:rFonts w:asciiTheme="majorHAnsi" w:hAnsiTheme="majorHAnsi" w:cstheme="majorHAnsi"/>
          <w:lang w:val="es-ES"/>
        </w:rPr>
        <w:t xml:space="preserve"> 9.478/1997 (art. 2)</w:t>
      </w:r>
      <w:r w:rsidRPr="00985B97">
        <w:rPr>
          <w:rFonts w:asciiTheme="majorHAnsi" w:hAnsiTheme="majorHAnsi" w:cstheme="majorHAnsi"/>
          <w:lang w:val="es-ES"/>
        </w:rPr>
        <w:t>, el cual es</w:t>
      </w:r>
      <w:r w:rsidR="00622B8B" w:rsidRPr="00985B97">
        <w:rPr>
          <w:rFonts w:asciiTheme="majorHAnsi" w:hAnsiTheme="majorHAnsi" w:cstheme="majorHAnsi"/>
          <w:lang w:val="es-ES"/>
        </w:rPr>
        <w:t xml:space="preserve"> presidido por el </w:t>
      </w:r>
      <w:proofErr w:type="gramStart"/>
      <w:r w:rsidR="00622B8B" w:rsidRPr="00985B97">
        <w:rPr>
          <w:rFonts w:asciiTheme="majorHAnsi" w:hAnsiTheme="majorHAnsi" w:cstheme="majorHAnsi"/>
          <w:lang w:val="es-ES"/>
        </w:rPr>
        <w:t>Ministro</w:t>
      </w:r>
      <w:proofErr w:type="gramEnd"/>
      <w:r w:rsidR="00622B8B" w:rsidRPr="00985B97">
        <w:rPr>
          <w:rFonts w:asciiTheme="majorHAnsi" w:hAnsiTheme="majorHAnsi" w:cstheme="majorHAnsi"/>
          <w:lang w:val="es-ES"/>
        </w:rPr>
        <w:t xml:space="preserve"> de Minas e </w:t>
      </w:r>
      <w:proofErr w:type="spellStart"/>
      <w:r w:rsidR="00622B8B" w:rsidRPr="00985B97">
        <w:rPr>
          <w:rFonts w:asciiTheme="majorHAnsi" w:hAnsiTheme="majorHAnsi" w:cstheme="majorHAnsi"/>
          <w:lang w:val="es-ES"/>
        </w:rPr>
        <w:t>Energia</w:t>
      </w:r>
      <w:proofErr w:type="spellEnd"/>
      <w:r w:rsidR="00622B8B" w:rsidRPr="00985B97">
        <w:rPr>
          <w:rFonts w:asciiTheme="majorHAnsi" w:hAnsiTheme="majorHAnsi" w:cstheme="majorHAnsi"/>
          <w:lang w:val="es-ES"/>
        </w:rPr>
        <w:t>. El CNPE es una instancia de coordinación interministerial de alto nivel</w:t>
      </w:r>
      <w:r w:rsidR="00F641F8" w:rsidRPr="00985B97">
        <w:rPr>
          <w:rFonts w:asciiTheme="majorHAnsi" w:hAnsiTheme="majorHAnsi" w:cstheme="majorHAnsi"/>
          <w:lang w:val="es-ES"/>
        </w:rPr>
        <w:t xml:space="preserve">, </w:t>
      </w:r>
      <w:r w:rsidR="00622B8B" w:rsidRPr="00985B97">
        <w:rPr>
          <w:rFonts w:asciiTheme="majorHAnsi" w:hAnsiTheme="majorHAnsi" w:cstheme="majorHAnsi"/>
          <w:lang w:val="es-ES"/>
        </w:rPr>
        <w:t>integrada por representantes de más de una decena de carteras, según la composición vigente en cada período</w:t>
      </w:r>
      <w:r w:rsidR="00F641F8" w:rsidRPr="00985B97">
        <w:rPr>
          <w:rFonts w:asciiTheme="majorHAnsi" w:hAnsiTheme="majorHAnsi" w:cstheme="majorHAnsi"/>
          <w:lang w:val="es-ES"/>
        </w:rPr>
        <w:t>,</w:t>
      </w:r>
      <w:r w:rsidR="00622B8B" w:rsidRPr="00985B97">
        <w:rPr>
          <w:rFonts w:asciiTheme="majorHAnsi" w:hAnsiTheme="majorHAnsi" w:cstheme="majorHAnsi"/>
          <w:lang w:val="es-ES"/>
        </w:rPr>
        <w:t xml:space="preserve"> </w:t>
      </w:r>
      <w:r w:rsidR="00F641F8" w:rsidRPr="00985B97">
        <w:rPr>
          <w:rFonts w:asciiTheme="majorHAnsi" w:hAnsiTheme="majorHAnsi" w:cstheme="majorHAnsi"/>
          <w:lang w:val="es-ES"/>
        </w:rPr>
        <w:t>que puede</w:t>
      </w:r>
      <w:r w:rsidR="00622B8B" w:rsidRPr="00985B97">
        <w:rPr>
          <w:rFonts w:asciiTheme="majorHAnsi" w:hAnsiTheme="majorHAnsi" w:cstheme="majorHAnsi"/>
          <w:lang w:val="es-ES"/>
        </w:rPr>
        <w:t xml:space="preserve"> proponer al </w:t>
      </w:r>
      <w:proofErr w:type="gramStart"/>
      <w:r w:rsidR="00622B8B" w:rsidRPr="00985B97">
        <w:rPr>
          <w:rFonts w:asciiTheme="majorHAnsi" w:hAnsiTheme="majorHAnsi" w:cstheme="majorHAnsi"/>
          <w:lang w:val="es-ES"/>
        </w:rPr>
        <w:t>Presidente</w:t>
      </w:r>
      <w:proofErr w:type="gramEnd"/>
      <w:r w:rsidR="00622B8B" w:rsidRPr="00985B97">
        <w:rPr>
          <w:rFonts w:asciiTheme="majorHAnsi" w:hAnsiTheme="majorHAnsi" w:cstheme="majorHAnsi"/>
          <w:lang w:val="es-ES"/>
        </w:rPr>
        <w:t xml:space="preserve"> de la República políticas y medidas específicas </w:t>
      </w:r>
      <w:r w:rsidR="00F641F8" w:rsidRPr="00985B97">
        <w:rPr>
          <w:rFonts w:asciiTheme="majorHAnsi" w:hAnsiTheme="majorHAnsi" w:cstheme="majorHAnsi"/>
          <w:lang w:val="es-ES"/>
        </w:rPr>
        <w:t>par</w:t>
      </w:r>
      <w:r w:rsidR="00622B8B" w:rsidRPr="00985B97">
        <w:rPr>
          <w:rFonts w:asciiTheme="majorHAnsi" w:hAnsiTheme="majorHAnsi" w:cstheme="majorHAnsi"/>
          <w:lang w:val="es-ES"/>
        </w:rPr>
        <w:t>a garantizar el abastecimiento energético nacional (</w:t>
      </w:r>
      <w:bookmarkStart w:id="178" w:name="_Hlk234687920"/>
      <w:proofErr w:type="spellStart"/>
      <w:r w:rsidR="00622B8B" w:rsidRPr="00985B97">
        <w:rPr>
          <w:rFonts w:asciiTheme="majorHAnsi" w:hAnsiTheme="majorHAnsi" w:cstheme="majorHAnsi"/>
          <w:lang w:val="es-ES"/>
        </w:rPr>
        <w:t>Ministério</w:t>
      </w:r>
      <w:proofErr w:type="spellEnd"/>
      <w:r w:rsidR="00622B8B" w:rsidRPr="00985B97">
        <w:rPr>
          <w:rFonts w:asciiTheme="majorHAnsi" w:hAnsiTheme="majorHAnsi" w:cstheme="majorHAnsi"/>
          <w:lang w:val="es-ES"/>
        </w:rPr>
        <w:t xml:space="preserve"> de Minas e </w:t>
      </w:r>
      <w:proofErr w:type="spellStart"/>
      <w:r w:rsidR="00622B8B" w:rsidRPr="00985B97">
        <w:rPr>
          <w:rFonts w:asciiTheme="majorHAnsi" w:hAnsiTheme="majorHAnsi" w:cstheme="majorHAnsi"/>
          <w:lang w:val="es-ES"/>
        </w:rPr>
        <w:t>Energia</w:t>
      </w:r>
      <w:proofErr w:type="spellEnd"/>
      <w:r w:rsidR="00622B8B" w:rsidRPr="00985B97">
        <w:rPr>
          <w:rFonts w:asciiTheme="majorHAnsi" w:hAnsiTheme="majorHAnsi" w:cstheme="majorHAnsi"/>
          <w:lang w:val="es-ES"/>
        </w:rPr>
        <w:t>,</w:t>
      </w:r>
      <w:bookmarkEnd w:id="178"/>
      <w:r w:rsidR="00F641F8" w:rsidRPr="00985B97">
        <w:rPr>
          <w:rFonts w:asciiTheme="majorHAnsi" w:hAnsiTheme="majorHAnsi" w:cstheme="majorHAnsi"/>
          <w:lang w:val="es-ES"/>
        </w:rPr>
        <w:t xml:space="preserve"> s. f.</w:t>
      </w:r>
      <w:r w:rsidR="00622B8B" w:rsidRPr="00985B97">
        <w:rPr>
          <w:rFonts w:asciiTheme="majorHAnsi" w:hAnsiTheme="majorHAnsi" w:cstheme="majorHAnsi"/>
          <w:lang w:val="es-ES"/>
        </w:rPr>
        <w:t xml:space="preserve">). Esta arquitectura le confiere al sistema brasileño una capacidad de integración de objetivos energéticos que </w:t>
      </w:r>
      <w:r w:rsidR="00F641F8" w:rsidRPr="00985B97">
        <w:rPr>
          <w:rFonts w:asciiTheme="majorHAnsi" w:hAnsiTheme="majorHAnsi" w:cstheme="majorHAnsi"/>
          <w:lang w:val="es-ES"/>
        </w:rPr>
        <w:t>pr</w:t>
      </w:r>
      <w:r w:rsidR="00622B8B" w:rsidRPr="00985B97">
        <w:rPr>
          <w:rFonts w:asciiTheme="majorHAnsi" w:hAnsiTheme="majorHAnsi" w:cstheme="majorHAnsi"/>
          <w:lang w:val="es-ES"/>
        </w:rPr>
        <w:t>ecede</w:t>
      </w:r>
      <w:r w:rsidR="00F641F8" w:rsidRPr="00985B97">
        <w:rPr>
          <w:rFonts w:asciiTheme="majorHAnsi" w:hAnsiTheme="majorHAnsi" w:cstheme="majorHAnsi"/>
          <w:lang w:val="es-ES"/>
        </w:rPr>
        <w:t xml:space="preserve"> </w:t>
      </w:r>
      <w:r w:rsidR="00622B8B" w:rsidRPr="00985B97">
        <w:rPr>
          <w:rFonts w:asciiTheme="majorHAnsi" w:hAnsiTheme="majorHAnsi" w:cstheme="majorHAnsi"/>
          <w:lang w:val="es-ES"/>
        </w:rPr>
        <w:t>la llegada de proyecto</w:t>
      </w:r>
      <w:r w:rsidR="00F641F8" w:rsidRPr="00985B97">
        <w:rPr>
          <w:rFonts w:asciiTheme="majorHAnsi" w:hAnsiTheme="majorHAnsi" w:cstheme="majorHAnsi"/>
          <w:lang w:val="es-ES"/>
        </w:rPr>
        <w:t>s</w:t>
      </w:r>
      <w:r w:rsidR="00622B8B" w:rsidRPr="00985B97">
        <w:rPr>
          <w:rFonts w:asciiTheme="majorHAnsi" w:hAnsiTheme="majorHAnsi" w:cstheme="majorHAnsi"/>
          <w:lang w:val="es-ES"/>
        </w:rPr>
        <w:t xml:space="preserve"> normativo</w:t>
      </w:r>
      <w:r w:rsidR="00F641F8" w:rsidRPr="00985B97">
        <w:rPr>
          <w:rFonts w:asciiTheme="majorHAnsi" w:hAnsiTheme="majorHAnsi" w:cstheme="majorHAnsi"/>
          <w:lang w:val="es-ES"/>
        </w:rPr>
        <w:t>s</w:t>
      </w:r>
      <w:r w:rsidR="00622B8B" w:rsidRPr="00985B97">
        <w:rPr>
          <w:rFonts w:asciiTheme="majorHAnsi" w:hAnsiTheme="majorHAnsi" w:cstheme="majorHAnsi"/>
          <w:lang w:val="es-ES"/>
        </w:rPr>
        <w:t xml:space="preserve"> al Congreso.</w:t>
      </w:r>
    </w:p>
    <w:p w14:paraId="18518C0A" w14:textId="77777777" w:rsidR="00622B8B" w:rsidRPr="00985B97" w:rsidRDefault="00622B8B"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El </w:t>
      </w:r>
      <w:r w:rsidR="001D4B0A" w:rsidRPr="00985B97">
        <w:rPr>
          <w:rFonts w:asciiTheme="majorHAnsi" w:hAnsiTheme="majorHAnsi" w:cstheme="majorHAnsi"/>
          <w:lang w:val="es-ES"/>
        </w:rPr>
        <w:t>legislativo</w:t>
      </w:r>
      <w:r w:rsidRPr="00985B97">
        <w:rPr>
          <w:rFonts w:asciiTheme="majorHAnsi" w:hAnsiTheme="majorHAnsi" w:cstheme="majorHAnsi"/>
          <w:lang w:val="es-ES"/>
        </w:rPr>
        <w:t xml:space="preserve"> brasileño cuenta, a su vez, con la </w:t>
      </w:r>
      <w:proofErr w:type="spellStart"/>
      <w:r w:rsidRPr="00985B97">
        <w:rPr>
          <w:rFonts w:asciiTheme="majorHAnsi" w:hAnsiTheme="majorHAnsi" w:cstheme="majorHAnsi"/>
          <w:lang w:val="es-ES"/>
        </w:rPr>
        <w:t>Consultoria</w:t>
      </w:r>
      <w:proofErr w:type="spellEnd"/>
      <w:r w:rsidRPr="00985B97">
        <w:rPr>
          <w:rFonts w:asciiTheme="majorHAnsi" w:hAnsiTheme="majorHAnsi" w:cstheme="majorHAnsi"/>
          <w:lang w:val="es-ES"/>
        </w:rPr>
        <w:t xml:space="preserve"> Legislativa da </w:t>
      </w:r>
      <w:proofErr w:type="spellStart"/>
      <w:r w:rsidRPr="00985B97">
        <w:rPr>
          <w:rFonts w:asciiTheme="majorHAnsi" w:hAnsiTheme="majorHAnsi" w:cstheme="majorHAnsi"/>
          <w:lang w:val="es-ES"/>
        </w:rPr>
        <w:t>Câmara</w:t>
      </w:r>
      <w:proofErr w:type="spellEnd"/>
      <w:r w:rsidRPr="00985B97">
        <w:rPr>
          <w:rFonts w:asciiTheme="majorHAnsi" w:hAnsiTheme="majorHAnsi" w:cstheme="majorHAnsi"/>
          <w:lang w:val="es-ES"/>
        </w:rPr>
        <w:t xml:space="preserve"> dos Deputados (CONLE), un órgano técnico permanente</w:t>
      </w:r>
      <w:r w:rsidR="00327875" w:rsidRPr="00985B97">
        <w:rPr>
          <w:rFonts w:asciiTheme="majorHAnsi" w:hAnsiTheme="majorHAnsi" w:cstheme="majorHAnsi"/>
          <w:lang w:val="es-ES"/>
        </w:rPr>
        <w:t xml:space="preserve">, que </w:t>
      </w:r>
      <w:proofErr w:type="gramStart"/>
      <w:r w:rsidRPr="00985B97">
        <w:rPr>
          <w:rFonts w:asciiTheme="majorHAnsi" w:hAnsiTheme="majorHAnsi" w:cstheme="majorHAnsi"/>
          <w:lang w:val="es-ES"/>
        </w:rPr>
        <w:t xml:space="preserve">no </w:t>
      </w:r>
      <w:r w:rsidR="00327875" w:rsidRPr="00985B97">
        <w:rPr>
          <w:rFonts w:asciiTheme="majorHAnsi" w:hAnsiTheme="majorHAnsi" w:cstheme="majorHAnsi"/>
          <w:lang w:val="es-ES"/>
        </w:rPr>
        <w:t xml:space="preserve"> es</w:t>
      </w:r>
      <w:proofErr w:type="gramEnd"/>
      <w:r w:rsidR="00327875" w:rsidRPr="00985B97">
        <w:rPr>
          <w:rFonts w:asciiTheme="majorHAnsi" w:hAnsiTheme="majorHAnsi" w:cstheme="majorHAnsi"/>
          <w:lang w:val="es-ES"/>
        </w:rPr>
        <w:t xml:space="preserve"> </w:t>
      </w:r>
      <w:r w:rsidRPr="00985B97">
        <w:rPr>
          <w:rFonts w:asciiTheme="majorHAnsi" w:hAnsiTheme="majorHAnsi" w:cstheme="majorHAnsi"/>
          <w:lang w:val="es-ES"/>
        </w:rPr>
        <w:t xml:space="preserve">partidista, </w:t>
      </w:r>
      <w:r w:rsidR="00327875" w:rsidRPr="00985B97">
        <w:rPr>
          <w:rFonts w:asciiTheme="majorHAnsi" w:hAnsiTheme="majorHAnsi" w:cstheme="majorHAnsi"/>
          <w:lang w:val="es-ES"/>
        </w:rPr>
        <w:t xml:space="preserve">sino </w:t>
      </w:r>
      <w:r w:rsidRPr="00985B97">
        <w:rPr>
          <w:rFonts w:asciiTheme="majorHAnsi" w:hAnsiTheme="majorHAnsi" w:cstheme="majorHAnsi"/>
          <w:lang w:val="es-ES"/>
        </w:rPr>
        <w:t>de carrera</w:t>
      </w:r>
      <w:r w:rsidR="00327875" w:rsidRPr="00985B97">
        <w:rPr>
          <w:rFonts w:asciiTheme="majorHAnsi" w:hAnsiTheme="majorHAnsi" w:cstheme="majorHAnsi"/>
          <w:lang w:val="es-ES"/>
        </w:rPr>
        <w:t>, el cual</w:t>
      </w:r>
      <w:r w:rsidRPr="00985B97">
        <w:rPr>
          <w:rFonts w:asciiTheme="majorHAnsi" w:hAnsiTheme="majorHAnsi" w:cstheme="majorHAnsi"/>
          <w:lang w:val="es-ES"/>
        </w:rPr>
        <w:t xml:space="preserve"> asesora a los parlamentarios en todas las fases del ciclo legislativo, desde la elaboración de proyectos hasta el análisis de impacto normativo, organizado en más de veinte áreas temáticas especializadas, entre ellas</w:t>
      </w:r>
      <w:r w:rsidR="00327875" w:rsidRPr="00985B97">
        <w:rPr>
          <w:rFonts w:asciiTheme="majorHAnsi" w:hAnsiTheme="majorHAnsi" w:cstheme="majorHAnsi"/>
          <w:lang w:val="es-ES"/>
        </w:rPr>
        <w:t>, la de</w:t>
      </w:r>
      <w:r w:rsidRPr="00985B97">
        <w:rPr>
          <w:rFonts w:asciiTheme="majorHAnsi" w:hAnsiTheme="majorHAnsi" w:cstheme="majorHAnsi"/>
          <w:lang w:val="es-ES"/>
        </w:rPr>
        <w:t xml:space="preserve"> energía (</w:t>
      </w:r>
      <w:bookmarkStart w:id="179" w:name="_Hlk234687992"/>
      <w:proofErr w:type="spellStart"/>
      <w:r w:rsidRPr="00985B97">
        <w:rPr>
          <w:rFonts w:asciiTheme="majorHAnsi" w:hAnsiTheme="majorHAnsi" w:cstheme="majorHAnsi"/>
          <w:lang w:val="es-ES"/>
        </w:rPr>
        <w:t>Câmara</w:t>
      </w:r>
      <w:proofErr w:type="spellEnd"/>
      <w:r w:rsidRPr="00985B97">
        <w:rPr>
          <w:rFonts w:asciiTheme="majorHAnsi" w:hAnsiTheme="majorHAnsi" w:cstheme="majorHAnsi"/>
          <w:lang w:val="es-ES"/>
        </w:rPr>
        <w:t xml:space="preserve"> dos Deputados, </w:t>
      </w:r>
      <w:proofErr w:type="spellStart"/>
      <w:r w:rsidRPr="00985B97">
        <w:rPr>
          <w:rFonts w:asciiTheme="majorHAnsi" w:hAnsiTheme="majorHAnsi" w:cstheme="majorHAnsi"/>
          <w:lang w:val="es-ES"/>
        </w:rPr>
        <w:t>Consultoria</w:t>
      </w:r>
      <w:proofErr w:type="spellEnd"/>
      <w:r w:rsidRPr="00985B97">
        <w:rPr>
          <w:rFonts w:asciiTheme="majorHAnsi" w:hAnsiTheme="majorHAnsi" w:cstheme="majorHAnsi"/>
          <w:lang w:val="es-ES"/>
        </w:rPr>
        <w:t xml:space="preserve"> Legislativa,</w:t>
      </w:r>
      <w:bookmarkEnd w:id="179"/>
      <w:r w:rsidR="00327875" w:rsidRPr="00985B97">
        <w:rPr>
          <w:rFonts w:asciiTheme="majorHAnsi" w:hAnsiTheme="majorHAnsi" w:cstheme="majorHAnsi"/>
          <w:lang w:val="es-ES"/>
        </w:rPr>
        <w:t xml:space="preserve"> s. f.</w:t>
      </w:r>
      <w:r w:rsidRPr="00985B97">
        <w:rPr>
          <w:rFonts w:asciiTheme="majorHAnsi" w:hAnsiTheme="majorHAnsi" w:cstheme="majorHAnsi"/>
          <w:lang w:val="es-ES"/>
        </w:rPr>
        <w:t xml:space="preserve">). Esta capacidad instalada transforma cualitativamente la relación del </w:t>
      </w:r>
      <w:r w:rsidR="001D4B0A" w:rsidRPr="00985B97">
        <w:rPr>
          <w:rFonts w:asciiTheme="majorHAnsi" w:hAnsiTheme="majorHAnsi" w:cstheme="majorHAnsi"/>
          <w:lang w:val="es-ES"/>
        </w:rPr>
        <w:t>legislativo</w:t>
      </w:r>
      <w:r w:rsidRPr="00985B97">
        <w:rPr>
          <w:rFonts w:asciiTheme="majorHAnsi" w:hAnsiTheme="majorHAnsi" w:cstheme="majorHAnsi"/>
          <w:lang w:val="es-ES"/>
        </w:rPr>
        <w:t xml:space="preserve"> con la complejidad técnica de la política energética: cuando los parlamentarios disponen de asesoría especializada propia, la negociación con el </w:t>
      </w:r>
      <w:r w:rsidR="001D4B0A" w:rsidRPr="00985B97">
        <w:rPr>
          <w:rFonts w:asciiTheme="majorHAnsi" w:hAnsiTheme="majorHAnsi" w:cstheme="majorHAnsi"/>
          <w:lang w:val="es-ES"/>
        </w:rPr>
        <w:t>ejecutivo</w:t>
      </w:r>
      <w:r w:rsidRPr="00985B97">
        <w:rPr>
          <w:rFonts w:asciiTheme="majorHAnsi" w:hAnsiTheme="majorHAnsi" w:cstheme="majorHAnsi"/>
          <w:lang w:val="es-ES"/>
        </w:rPr>
        <w:t xml:space="preserve"> </w:t>
      </w:r>
      <w:r w:rsidR="00327875" w:rsidRPr="00985B97">
        <w:rPr>
          <w:rFonts w:asciiTheme="majorHAnsi" w:hAnsiTheme="majorHAnsi" w:cstheme="majorHAnsi"/>
          <w:lang w:val="es-ES"/>
        </w:rPr>
        <w:t>presenta</w:t>
      </w:r>
      <w:r w:rsidRPr="00985B97">
        <w:rPr>
          <w:rFonts w:asciiTheme="majorHAnsi" w:hAnsiTheme="majorHAnsi" w:cstheme="majorHAnsi"/>
          <w:lang w:val="es-ES"/>
        </w:rPr>
        <w:t xml:space="preserve"> menor asimetría de información, el proceso deliberativo es más robusto y los resultados legislativos </w:t>
      </w:r>
      <w:r w:rsidR="00327875" w:rsidRPr="00985B97">
        <w:rPr>
          <w:rFonts w:asciiTheme="majorHAnsi" w:hAnsiTheme="majorHAnsi" w:cstheme="majorHAnsi"/>
          <w:lang w:val="es-ES"/>
        </w:rPr>
        <w:t>son</w:t>
      </w:r>
      <w:r w:rsidRPr="00985B97">
        <w:rPr>
          <w:rFonts w:asciiTheme="majorHAnsi" w:hAnsiTheme="majorHAnsi" w:cstheme="majorHAnsi"/>
          <w:lang w:val="es-ES"/>
        </w:rPr>
        <w:t xml:space="preserve"> más predecibles. El Congreso de la República de Colombia </w:t>
      </w:r>
      <w:r w:rsidR="00327875" w:rsidRPr="00985B97">
        <w:rPr>
          <w:rFonts w:asciiTheme="majorHAnsi" w:hAnsiTheme="majorHAnsi" w:cstheme="majorHAnsi"/>
          <w:lang w:val="es-ES"/>
        </w:rPr>
        <w:t>no tiene</w:t>
      </w:r>
      <w:r w:rsidRPr="00985B97">
        <w:rPr>
          <w:rFonts w:asciiTheme="majorHAnsi" w:hAnsiTheme="majorHAnsi" w:cstheme="majorHAnsi"/>
          <w:lang w:val="es-ES"/>
        </w:rPr>
        <w:t xml:space="preserve"> un equivalente funcional</w:t>
      </w:r>
      <w:r w:rsidR="00327875" w:rsidRPr="00985B97">
        <w:rPr>
          <w:rFonts w:asciiTheme="majorHAnsi" w:hAnsiTheme="majorHAnsi" w:cstheme="majorHAnsi"/>
          <w:lang w:val="es-ES"/>
        </w:rPr>
        <w:t>, en tanto</w:t>
      </w:r>
      <w:r w:rsidRPr="00985B97">
        <w:rPr>
          <w:rFonts w:asciiTheme="majorHAnsi" w:hAnsiTheme="majorHAnsi" w:cstheme="majorHAnsi"/>
          <w:lang w:val="es-ES"/>
        </w:rPr>
        <w:t xml:space="preserve"> las Unidades de Trabajo </w:t>
      </w:r>
      <w:r w:rsidR="001D4B0A" w:rsidRPr="00985B97">
        <w:rPr>
          <w:rFonts w:asciiTheme="majorHAnsi" w:hAnsiTheme="majorHAnsi" w:cstheme="majorHAnsi"/>
          <w:lang w:val="es-ES"/>
        </w:rPr>
        <w:t>legislativo</w:t>
      </w:r>
      <w:r w:rsidRPr="00985B97">
        <w:rPr>
          <w:rFonts w:asciiTheme="majorHAnsi" w:hAnsiTheme="majorHAnsi" w:cstheme="majorHAnsi"/>
          <w:lang w:val="es-ES"/>
        </w:rPr>
        <w:t xml:space="preserve"> (UTL) son de asignación individual por congresista, no especializadas ni de carrera, lo que desplaza la negociación técnica hacia los gabinetes ministeriales, los grupos de interés sectoriales y las relaciones personales.</w:t>
      </w:r>
    </w:p>
    <w:p w14:paraId="0B762BCF" w14:textId="77777777" w:rsidR="00622B8B" w:rsidRPr="00985B97" w:rsidRDefault="00622B8B"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En materia de </w:t>
      </w:r>
      <w:r w:rsidR="00422C3B" w:rsidRPr="00985B97">
        <w:rPr>
          <w:rFonts w:asciiTheme="majorHAnsi" w:hAnsiTheme="majorHAnsi" w:cstheme="majorHAnsi"/>
          <w:lang w:val="es-ES"/>
        </w:rPr>
        <w:t>normatividad</w:t>
      </w:r>
      <w:r w:rsidRPr="00985B97">
        <w:rPr>
          <w:rFonts w:asciiTheme="majorHAnsi" w:hAnsiTheme="majorHAnsi" w:cstheme="majorHAnsi"/>
          <w:lang w:val="es-ES"/>
        </w:rPr>
        <w:t xml:space="preserve"> sobre transición energética, Brasil sancionó la </w:t>
      </w:r>
      <w:proofErr w:type="spellStart"/>
      <w:r w:rsidRPr="00985B97">
        <w:rPr>
          <w:rFonts w:asciiTheme="majorHAnsi" w:hAnsiTheme="majorHAnsi" w:cstheme="majorHAnsi"/>
          <w:lang w:val="es-ES"/>
        </w:rPr>
        <w:t>Lei</w:t>
      </w:r>
      <w:proofErr w:type="spellEnd"/>
      <w:r w:rsidRPr="00985B97">
        <w:rPr>
          <w:rFonts w:asciiTheme="majorHAnsi" w:hAnsiTheme="majorHAnsi" w:cstheme="majorHAnsi"/>
          <w:lang w:val="es-ES"/>
        </w:rPr>
        <w:t xml:space="preserve"> 14.300 de 2022, que establec</w:t>
      </w:r>
      <w:r w:rsidR="00422C3B" w:rsidRPr="00985B97">
        <w:rPr>
          <w:rFonts w:asciiTheme="majorHAnsi" w:hAnsiTheme="majorHAnsi" w:cstheme="majorHAnsi"/>
          <w:lang w:val="es-ES"/>
        </w:rPr>
        <w:t>e</w:t>
      </w:r>
      <w:r w:rsidRPr="00985B97">
        <w:rPr>
          <w:rFonts w:asciiTheme="majorHAnsi" w:hAnsiTheme="majorHAnsi" w:cstheme="majorHAnsi"/>
          <w:lang w:val="es-ES"/>
        </w:rPr>
        <w:t xml:space="preserve"> el marco legal de la </w:t>
      </w:r>
      <w:proofErr w:type="spellStart"/>
      <w:r w:rsidRPr="00985B97">
        <w:rPr>
          <w:rFonts w:asciiTheme="majorHAnsi" w:hAnsiTheme="majorHAnsi" w:cstheme="majorHAnsi"/>
          <w:lang w:val="es-ES"/>
        </w:rPr>
        <w:t>microgeneración</w:t>
      </w:r>
      <w:proofErr w:type="spellEnd"/>
      <w:r w:rsidRPr="00985B97">
        <w:rPr>
          <w:rFonts w:asciiTheme="majorHAnsi" w:hAnsiTheme="majorHAnsi" w:cstheme="majorHAnsi"/>
          <w:lang w:val="es-ES"/>
        </w:rPr>
        <w:t xml:space="preserve"> y minigeneración distribuida de energía solar</w:t>
      </w:r>
      <w:r w:rsidR="00422C3B" w:rsidRPr="00985B97">
        <w:rPr>
          <w:rFonts w:asciiTheme="majorHAnsi" w:hAnsiTheme="majorHAnsi" w:cstheme="majorHAnsi"/>
          <w:lang w:val="es-ES"/>
        </w:rPr>
        <w:t>,</w:t>
      </w:r>
      <w:r w:rsidRPr="00985B97">
        <w:rPr>
          <w:rFonts w:asciiTheme="majorHAnsi" w:hAnsiTheme="majorHAnsi" w:cstheme="majorHAnsi"/>
          <w:lang w:val="es-ES"/>
        </w:rPr>
        <w:t xml:space="preserve"> la </w:t>
      </w:r>
      <w:proofErr w:type="spellStart"/>
      <w:r w:rsidRPr="00985B97">
        <w:rPr>
          <w:rFonts w:asciiTheme="majorHAnsi" w:hAnsiTheme="majorHAnsi" w:cstheme="majorHAnsi"/>
          <w:lang w:val="es-ES"/>
        </w:rPr>
        <w:t>Lei</w:t>
      </w:r>
      <w:proofErr w:type="spellEnd"/>
      <w:r w:rsidRPr="00985B97">
        <w:rPr>
          <w:rFonts w:asciiTheme="majorHAnsi" w:hAnsiTheme="majorHAnsi" w:cstheme="majorHAnsi"/>
          <w:lang w:val="es-ES"/>
        </w:rPr>
        <w:t xml:space="preserve"> 14.948</w:t>
      </w:r>
      <w:r w:rsidR="00422C3B" w:rsidRPr="00985B97">
        <w:rPr>
          <w:rFonts w:asciiTheme="majorHAnsi" w:hAnsiTheme="majorHAnsi" w:cstheme="majorHAnsi"/>
          <w:lang w:val="es-ES"/>
        </w:rPr>
        <w:t xml:space="preserve"> </w:t>
      </w:r>
      <w:r w:rsidRPr="00985B97">
        <w:rPr>
          <w:rFonts w:asciiTheme="majorHAnsi" w:hAnsiTheme="majorHAnsi" w:cstheme="majorHAnsi"/>
          <w:lang w:val="es-ES"/>
        </w:rPr>
        <w:t>de 2024, que instituy</w:t>
      </w:r>
      <w:r w:rsidR="00422C3B" w:rsidRPr="00985B97">
        <w:rPr>
          <w:rFonts w:asciiTheme="majorHAnsi" w:hAnsiTheme="majorHAnsi" w:cstheme="majorHAnsi"/>
          <w:lang w:val="es-ES"/>
        </w:rPr>
        <w:t>e</w:t>
      </w:r>
      <w:r w:rsidRPr="00985B97">
        <w:rPr>
          <w:rFonts w:asciiTheme="majorHAnsi" w:hAnsiTheme="majorHAnsi" w:cstheme="majorHAnsi"/>
          <w:lang w:val="es-ES"/>
        </w:rPr>
        <w:t xml:space="preserve"> el marco legal del hidrógeno de bajo carbono</w:t>
      </w:r>
      <w:r w:rsidR="00422C3B" w:rsidRPr="00985B97">
        <w:rPr>
          <w:rFonts w:asciiTheme="majorHAnsi" w:hAnsiTheme="majorHAnsi" w:cstheme="majorHAnsi"/>
          <w:lang w:val="es-ES"/>
        </w:rPr>
        <w:t>,</w:t>
      </w:r>
      <w:r w:rsidRPr="00985B97">
        <w:rPr>
          <w:rFonts w:asciiTheme="majorHAnsi" w:hAnsiTheme="majorHAnsi" w:cstheme="majorHAnsi"/>
          <w:lang w:val="es-ES"/>
        </w:rPr>
        <w:t xml:space="preserve"> la </w:t>
      </w:r>
      <w:proofErr w:type="spellStart"/>
      <w:r w:rsidRPr="00985B97">
        <w:rPr>
          <w:rFonts w:asciiTheme="majorHAnsi" w:hAnsiTheme="majorHAnsi" w:cstheme="majorHAnsi"/>
          <w:lang w:val="es-ES"/>
        </w:rPr>
        <w:t>Lei</w:t>
      </w:r>
      <w:proofErr w:type="spellEnd"/>
      <w:r w:rsidRPr="00985B97">
        <w:rPr>
          <w:rFonts w:asciiTheme="majorHAnsi" w:hAnsiTheme="majorHAnsi" w:cstheme="majorHAnsi"/>
          <w:lang w:val="es-ES"/>
        </w:rPr>
        <w:t xml:space="preserve"> 14.993, de 2024</w:t>
      </w:r>
      <w:r w:rsidR="00422C3B" w:rsidRPr="00985B97">
        <w:rPr>
          <w:rFonts w:asciiTheme="majorHAnsi" w:hAnsiTheme="majorHAnsi" w:cstheme="majorHAnsi"/>
          <w:lang w:val="es-ES"/>
        </w:rPr>
        <w:t xml:space="preserve"> o </w:t>
      </w:r>
      <w:proofErr w:type="spellStart"/>
      <w:r w:rsidRPr="00985B97">
        <w:rPr>
          <w:rFonts w:asciiTheme="majorHAnsi" w:hAnsiTheme="majorHAnsi" w:cstheme="majorHAnsi"/>
          <w:lang w:val="es-ES"/>
        </w:rPr>
        <w:t>Lei</w:t>
      </w:r>
      <w:proofErr w:type="spellEnd"/>
      <w:r w:rsidRPr="00985B97">
        <w:rPr>
          <w:rFonts w:asciiTheme="majorHAnsi" w:hAnsiTheme="majorHAnsi" w:cstheme="majorHAnsi"/>
          <w:lang w:val="es-ES"/>
        </w:rPr>
        <w:t xml:space="preserve"> do </w:t>
      </w:r>
      <w:proofErr w:type="spellStart"/>
      <w:r w:rsidRPr="00985B97">
        <w:rPr>
          <w:rFonts w:asciiTheme="majorHAnsi" w:hAnsiTheme="majorHAnsi" w:cstheme="majorHAnsi"/>
          <w:lang w:val="es-ES"/>
        </w:rPr>
        <w:t>Combustível</w:t>
      </w:r>
      <w:proofErr w:type="spellEnd"/>
      <w:r w:rsidRPr="00985B97">
        <w:rPr>
          <w:rFonts w:asciiTheme="majorHAnsi" w:hAnsiTheme="majorHAnsi" w:cstheme="majorHAnsi"/>
          <w:lang w:val="es-ES"/>
        </w:rPr>
        <w:t xml:space="preserve"> do Futuro</w:t>
      </w:r>
      <w:r w:rsidR="00422C3B" w:rsidRPr="00985B97">
        <w:rPr>
          <w:rFonts w:asciiTheme="majorHAnsi" w:hAnsiTheme="majorHAnsi" w:cstheme="majorHAnsi"/>
          <w:lang w:val="es-ES"/>
        </w:rPr>
        <w:t>,</w:t>
      </w:r>
      <w:r w:rsidRPr="00985B97">
        <w:rPr>
          <w:rFonts w:asciiTheme="majorHAnsi" w:hAnsiTheme="majorHAnsi" w:cstheme="majorHAnsi"/>
          <w:lang w:val="es-ES"/>
        </w:rPr>
        <w:t xml:space="preserve"> la </w:t>
      </w:r>
      <w:proofErr w:type="spellStart"/>
      <w:r w:rsidRPr="00985B97">
        <w:rPr>
          <w:rFonts w:asciiTheme="majorHAnsi" w:hAnsiTheme="majorHAnsi" w:cstheme="majorHAnsi"/>
          <w:lang w:val="es-ES"/>
        </w:rPr>
        <w:t>Lei</w:t>
      </w:r>
      <w:proofErr w:type="spellEnd"/>
      <w:r w:rsidRPr="00985B97">
        <w:rPr>
          <w:rFonts w:asciiTheme="majorHAnsi" w:hAnsiTheme="majorHAnsi" w:cstheme="majorHAnsi"/>
          <w:lang w:val="es-ES"/>
        </w:rPr>
        <w:t xml:space="preserve"> 15.042</w:t>
      </w:r>
      <w:r w:rsidR="00422C3B" w:rsidRPr="00985B97">
        <w:rPr>
          <w:rFonts w:asciiTheme="majorHAnsi" w:hAnsiTheme="majorHAnsi" w:cstheme="majorHAnsi"/>
          <w:lang w:val="es-ES"/>
        </w:rPr>
        <w:t xml:space="preserve"> </w:t>
      </w:r>
      <w:r w:rsidRPr="00985B97">
        <w:rPr>
          <w:rFonts w:asciiTheme="majorHAnsi" w:hAnsiTheme="majorHAnsi" w:cstheme="majorHAnsi"/>
          <w:lang w:val="es-ES"/>
        </w:rPr>
        <w:t xml:space="preserve">de 2024, que </w:t>
      </w:r>
      <w:r w:rsidR="00422C3B" w:rsidRPr="00985B97">
        <w:rPr>
          <w:rFonts w:asciiTheme="majorHAnsi" w:hAnsiTheme="majorHAnsi" w:cstheme="majorHAnsi"/>
          <w:lang w:val="es-ES"/>
        </w:rPr>
        <w:t>crea</w:t>
      </w:r>
      <w:r w:rsidRPr="00985B97">
        <w:rPr>
          <w:rFonts w:asciiTheme="majorHAnsi" w:hAnsiTheme="majorHAnsi" w:cstheme="majorHAnsi"/>
          <w:lang w:val="es-ES"/>
        </w:rPr>
        <w:t xml:space="preserve"> el Sistema Brasileiro de </w:t>
      </w:r>
      <w:proofErr w:type="spellStart"/>
      <w:r w:rsidRPr="00985B97">
        <w:rPr>
          <w:rFonts w:asciiTheme="majorHAnsi" w:hAnsiTheme="majorHAnsi" w:cstheme="majorHAnsi"/>
          <w:lang w:val="es-ES"/>
        </w:rPr>
        <w:t>Comércio</w:t>
      </w:r>
      <w:proofErr w:type="spellEnd"/>
      <w:r w:rsidRPr="00985B97">
        <w:rPr>
          <w:rFonts w:asciiTheme="majorHAnsi" w:hAnsiTheme="majorHAnsi" w:cstheme="majorHAnsi"/>
          <w:lang w:val="es-ES"/>
        </w:rPr>
        <w:t xml:space="preserve"> de </w:t>
      </w:r>
      <w:proofErr w:type="spellStart"/>
      <w:r w:rsidRPr="00985B97">
        <w:rPr>
          <w:rFonts w:asciiTheme="majorHAnsi" w:hAnsiTheme="majorHAnsi" w:cstheme="majorHAnsi"/>
          <w:lang w:val="es-ES"/>
        </w:rPr>
        <w:t>Emissões</w:t>
      </w:r>
      <w:proofErr w:type="spellEnd"/>
      <w:r w:rsidRPr="00985B97">
        <w:rPr>
          <w:rFonts w:asciiTheme="majorHAnsi" w:hAnsiTheme="majorHAnsi" w:cstheme="majorHAnsi"/>
          <w:lang w:val="es-ES"/>
        </w:rPr>
        <w:t xml:space="preserve"> de Gases de </w:t>
      </w:r>
      <w:proofErr w:type="spellStart"/>
      <w:r w:rsidRPr="00985B97">
        <w:rPr>
          <w:rFonts w:asciiTheme="majorHAnsi" w:hAnsiTheme="majorHAnsi" w:cstheme="majorHAnsi"/>
          <w:lang w:val="es-ES"/>
        </w:rPr>
        <w:t>Efeito</w:t>
      </w:r>
      <w:proofErr w:type="spellEnd"/>
      <w:r w:rsidRPr="00985B97">
        <w:rPr>
          <w:rFonts w:asciiTheme="majorHAnsi" w:hAnsiTheme="majorHAnsi" w:cstheme="majorHAnsi"/>
          <w:lang w:val="es-ES"/>
        </w:rPr>
        <w:t xml:space="preserve"> Estufa </w:t>
      </w:r>
      <w:r w:rsidR="00422C3B" w:rsidRPr="00985B97">
        <w:rPr>
          <w:rFonts w:asciiTheme="majorHAnsi" w:hAnsiTheme="majorHAnsi" w:cstheme="majorHAnsi"/>
          <w:lang w:val="es-ES"/>
        </w:rPr>
        <w:t>(</w:t>
      </w:r>
      <w:r w:rsidRPr="00985B97">
        <w:rPr>
          <w:rFonts w:asciiTheme="majorHAnsi" w:hAnsiTheme="majorHAnsi" w:cstheme="majorHAnsi"/>
          <w:lang w:val="es-ES"/>
        </w:rPr>
        <w:t>SBCE</w:t>
      </w:r>
      <w:r w:rsidR="00422C3B" w:rsidRPr="00985B97">
        <w:rPr>
          <w:rFonts w:asciiTheme="majorHAnsi" w:hAnsiTheme="majorHAnsi" w:cstheme="majorHAnsi"/>
          <w:lang w:val="es-ES"/>
        </w:rPr>
        <w:t>),</w:t>
      </w:r>
      <w:r w:rsidRPr="00985B97">
        <w:rPr>
          <w:rFonts w:asciiTheme="majorHAnsi" w:hAnsiTheme="majorHAnsi" w:cstheme="majorHAnsi"/>
          <w:lang w:val="es-ES"/>
        </w:rPr>
        <w:t xml:space="preserve"> y la </w:t>
      </w:r>
      <w:proofErr w:type="spellStart"/>
      <w:r w:rsidRPr="00985B97">
        <w:rPr>
          <w:rFonts w:asciiTheme="majorHAnsi" w:hAnsiTheme="majorHAnsi" w:cstheme="majorHAnsi"/>
          <w:lang w:val="es-ES"/>
        </w:rPr>
        <w:t>Lei</w:t>
      </w:r>
      <w:proofErr w:type="spellEnd"/>
      <w:r w:rsidRPr="00985B97">
        <w:rPr>
          <w:rFonts w:asciiTheme="majorHAnsi" w:hAnsiTheme="majorHAnsi" w:cstheme="majorHAnsi"/>
          <w:lang w:val="es-ES"/>
        </w:rPr>
        <w:t xml:space="preserve"> 15.103</w:t>
      </w:r>
      <w:r w:rsidR="00422C3B" w:rsidRPr="00985B97">
        <w:rPr>
          <w:rFonts w:asciiTheme="majorHAnsi" w:hAnsiTheme="majorHAnsi" w:cstheme="majorHAnsi"/>
          <w:lang w:val="es-ES"/>
        </w:rPr>
        <w:t xml:space="preserve"> </w:t>
      </w:r>
      <w:r w:rsidRPr="00985B97">
        <w:rPr>
          <w:rFonts w:asciiTheme="majorHAnsi" w:hAnsiTheme="majorHAnsi" w:cstheme="majorHAnsi"/>
          <w:lang w:val="es-ES"/>
        </w:rPr>
        <w:t>de 2025, que cre</w:t>
      </w:r>
      <w:r w:rsidR="00422C3B" w:rsidRPr="00985B97">
        <w:rPr>
          <w:rFonts w:asciiTheme="majorHAnsi" w:hAnsiTheme="majorHAnsi" w:cstheme="majorHAnsi"/>
          <w:lang w:val="es-ES"/>
        </w:rPr>
        <w:t>a</w:t>
      </w:r>
      <w:r w:rsidRPr="00985B97">
        <w:rPr>
          <w:rFonts w:asciiTheme="majorHAnsi" w:hAnsiTheme="majorHAnsi" w:cstheme="majorHAnsi"/>
          <w:lang w:val="es-ES"/>
        </w:rPr>
        <w:t xml:space="preserve"> el Programa de </w:t>
      </w:r>
      <w:proofErr w:type="spellStart"/>
      <w:r w:rsidRPr="00985B97">
        <w:rPr>
          <w:rFonts w:asciiTheme="majorHAnsi" w:hAnsiTheme="majorHAnsi" w:cstheme="majorHAnsi"/>
          <w:lang w:val="es-ES"/>
        </w:rPr>
        <w:t>Aceleração</w:t>
      </w:r>
      <w:proofErr w:type="spellEnd"/>
      <w:r w:rsidRPr="00985B97">
        <w:rPr>
          <w:rFonts w:asciiTheme="majorHAnsi" w:hAnsiTheme="majorHAnsi" w:cstheme="majorHAnsi"/>
          <w:lang w:val="es-ES"/>
        </w:rPr>
        <w:t xml:space="preserve"> da </w:t>
      </w:r>
      <w:proofErr w:type="spellStart"/>
      <w:r w:rsidRPr="00985B97">
        <w:rPr>
          <w:rFonts w:asciiTheme="majorHAnsi" w:hAnsiTheme="majorHAnsi" w:cstheme="majorHAnsi"/>
          <w:lang w:val="es-ES"/>
        </w:rPr>
        <w:t>Transição</w:t>
      </w:r>
      <w:proofErr w:type="spellEnd"/>
      <w:r w:rsidRPr="00985B97">
        <w:rPr>
          <w:rFonts w:asciiTheme="majorHAnsi" w:hAnsiTheme="majorHAnsi" w:cstheme="majorHAnsi"/>
          <w:lang w:val="es-ES"/>
        </w:rPr>
        <w:t xml:space="preserve"> Energética </w:t>
      </w:r>
      <w:r w:rsidR="00422C3B" w:rsidRPr="00985B97">
        <w:rPr>
          <w:rFonts w:asciiTheme="majorHAnsi" w:hAnsiTheme="majorHAnsi" w:cstheme="majorHAnsi"/>
          <w:lang w:val="es-ES"/>
        </w:rPr>
        <w:t>(</w:t>
      </w:r>
      <w:r w:rsidRPr="00985B97">
        <w:rPr>
          <w:rFonts w:asciiTheme="majorHAnsi" w:hAnsiTheme="majorHAnsi" w:cstheme="majorHAnsi"/>
          <w:lang w:val="es-ES"/>
        </w:rPr>
        <w:t>PATEN</w:t>
      </w:r>
      <w:r w:rsidR="00422C3B" w:rsidRPr="00985B97">
        <w:rPr>
          <w:rFonts w:asciiTheme="majorHAnsi" w:hAnsiTheme="majorHAnsi" w:cstheme="majorHAnsi"/>
          <w:lang w:val="es-ES"/>
        </w:rPr>
        <w:t>).</w:t>
      </w:r>
    </w:p>
    <w:p w14:paraId="4F7B6550" w14:textId="77777777" w:rsidR="00622B8B" w:rsidRPr="00985B97" w:rsidRDefault="00622B8B"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Un mecanismo adicional de articulación entre el </w:t>
      </w:r>
      <w:r w:rsidR="001D4B0A" w:rsidRPr="00985B97">
        <w:rPr>
          <w:rFonts w:asciiTheme="majorHAnsi" w:hAnsiTheme="majorHAnsi" w:cstheme="majorHAnsi"/>
          <w:lang w:val="es-ES"/>
        </w:rPr>
        <w:t>ejecutivo</w:t>
      </w:r>
      <w:r w:rsidRPr="00985B97">
        <w:rPr>
          <w:rFonts w:asciiTheme="majorHAnsi" w:hAnsiTheme="majorHAnsi" w:cstheme="majorHAnsi"/>
          <w:lang w:val="es-ES"/>
        </w:rPr>
        <w:t xml:space="preserve">, el </w:t>
      </w:r>
      <w:r w:rsidR="001D4B0A" w:rsidRPr="00985B97">
        <w:rPr>
          <w:rFonts w:asciiTheme="majorHAnsi" w:hAnsiTheme="majorHAnsi" w:cstheme="majorHAnsi"/>
          <w:lang w:val="es-ES"/>
        </w:rPr>
        <w:t>legislativo</w:t>
      </w:r>
      <w:r w:rsidRPr="00985B97">
        <w:rPr>
          <w:rFonts w:asciiTheme="majorHAnsi" w:hAnsiTheme="majorHAnsi" w:cstheme="majorHAnsi"/>
          <w:lang w:val="es-ES"/>
        </w:rPr>
        <w:t xml:space="preserve"> y la sociedad civil es el Fórum Nacional da </w:t>
      </w:r>
      <w:proofErr w:type="spellStart"/>
      <w:r w:rsidRPr="00985B97">
        <w:rPr>
          <w:rFonts w:asciiTheme="majorHAnsi" w:hAnsiTheme="majorHAnsi" w:cstheme="majorHAnsi"/>
          <w:lang w:val="es-ES"/>
        </w:rPr>
        <w:t>Transição</w:t>
      </w:r>
      <w:proofErr w:type="spellEnd"/>
      <w:r w:rsidRPr="00985B97">
        <w:rPr>
          <w:rFonts w:asciiTheme="majorHAnsi" w:hAnsiTheme="majorHAnsi" w:cstheme="majorHAnsi"/>
          <w:lang w:val="es-ES"/>
        </w:rPr>
        <w:t xml:space="preserve"> Energética (FONTE), instituido por la </w:t>
      </w:r>
      <w:proofErr w:type="spellStart"/>
      <w:r w:rsidRPr="00985B97">
        <w:rPr>
          <w:rFonts w:asciiTheme="majorHAnsi" w:hAnsiTheme="majorHAnsi" w:cstheme="majorHAnsi"/>
          <w:lang w:val="es-ES"/>
        </w:rPr>
        <w:t>Resolução</w:t>
      </w:r>
      <w:proofErr w:type="spellEnd"/>
      <w:r w:rsidRPr="00985B97">
        <w:rPr>
          <w:rFonts w:asciiTheme="majorHAnsi" w:hAnsiTheme="majorHAnsi" w:cstheme="majorHAnsi"/>
          <w:lang w:val="es-ES"/>
        </w:rPr>
        <w:t xml:space="preserve"> CNPE </w:t>
      </w:r>
      <w:r w:rsidR="00422C3B" w:rsidRPr="00985B97">
        <w:rPr>
          <w:rFonts w:asciiTheme="majorHAnsi" w:hAnsiTheme="majorHAnsi" w:cstheme="majorHAnsi"/>
          <w:lang w:val="es-ES"/>
        </w:rPr>
        <w:t xml:space="preserve">No. </w:t>
      </w:r>
      <w:r w:rsidRPr="00985B97">
        <w:rPr>
          <w:rFonts w:asciiTheme="majorHAnsi" w:hAnsiTheme="majorHAnsi" w:cstheme="majorHAnsi"/>
          <w:lang w:val="es-ES"/>
        </w:rPr>
        <w:t>5</w:t>
      </w:r>
      <w:r w:rsidR="00422C3B" w:rsidRPr="00985B97">
        <w:rPr>
          <w:rFonts w:asciiTheme="majorHAnsi" w:hAnsiTheme="majorHAnsi" w:cstheme="majorHAnsi"/>
          <w:lang w:val="es-ES"/>
        </w:rPr>
        <w:t xml:space="preserve"> </w:t>
      </w:r>
      <w:r w:rsidRPr="00985B97">
        <w:rPr>
          <w:rFonts w:asciiTheme="majorHAnsi" w:hAnsiTheme="majorHAnsi" w:cstheme="majorHAnsi"/>
          <w:lang w:val="es-ES"/>
        </w:rPr>
        <w:t xml:space="preserve">de 2024, con una </w:t>
      </w:r>
      <w:r w:rsidRPr="00985B97">
        <w:rPr>
          <w:rFonts w:asciiTheme="majorHAnsi" w:hAnsiTheme="majorHAnsi" w:cstheme="majorHAnsi"/>
          <w:lang w:val="es-ES"/>
        </w:rPr>
        <w:lastRenderedPageBreak/>
        <w:t xml:space="preserve">composición tripartita de 87 miembros </w:t>
      </w:r>
      <w:r w:rsidR="00422C3B" w:rsidRPr="00985B97">
        <w:rPr>
          <w:rFonts w:asciiTheme="majorHAnsi" w:hAnsiTheme="majorHAnsi" w:cstheme="majorHAnsi"/>
          <w:lang w:val="es-ES"/>
        </w:rPr>
        <w:t>(</w:t>
      </w:r>
      <w:r w:rsidRPr="00985B97">
        <w:rPr>
          <w:rFonts w:asciiTheme="majorHAnsi" w:hAnsiTheme="majorHAnsi" w:cstheme="majorHAnsi"/>
          <w:lang w:val="es-ES"/>
        </w:rPr>
        <w:t>29 representantes gubernamentales, 29 del sector productivo y 29 de la sociedad civil y la academia</w:t>
      </w:r>
      <w:r w:rsidR="00422C3B" w:rsidRPr="00985B97">
        <w:rPr>
          <w:rFonts w:asciiTheme="majorHAnsi" w:hAnsiTheme="majorHAnsi" w:cstheme="majorHAnsi"/>
          <w:lang w:val="es-ES"/>
        </w:rPr>
        <w:t xml:space="preserve">), que es un </w:t>
      </w:r>
      <w:r w:rsidRPr="00985B97">
        <w:rPr>
          <w:rFonts w:asciiTheme="majorHAnsi" w:hAnsiTheme="majorHAnsi" w:cstheme="majorHAnsi"/>
          <w:lang w:val="es-ES"/>
        </w:rPr>
        <w:t>espacio de construcción de consenso previo a la radicación formal de proyectos, reduciendo así la probabilidad de que estos sean archivados en comisión.</w:t>
      </w:r>
    </w:p>
    <w:p w14:paraId="4BEA81FB" w14:textId="77777777" w:rsidR="003C0F50" w:rsidRPr="00985B97" w:rsidRDefault="00622B8B"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Esta arquitectura institucional </w:t>
      </w:r>
      <w:r w:rsidR="003C0F50" w:rsidRPr="00985B97">
        <w:rPr>
          <w:rFonts w:asciiTheme="majorHAnsi" w:hAnsiTheme="majorHAnsi" w:cstheme="majorHAnsi"/>
          <w:lang w:val="es-ES"/>
        </w:rPr>
        <w:t>(</w:t>
      </w:r>
      <w:r w:rsidRPr="00985B97">
        <w:rPr>
          <w:rFonts w:asciiTheme="majorHAnsi" w:hAnsiTheme="majorHAnsi" w:cstheme="majorHAnsi"/>
          <w:lang w:val="es-ES"/>
        </w:rPr>
        <w:t>CNPE, CONLE y FONTE</w:t>
      </w:r>
      <w:r w:rsidR="003C0F50" w:rsidRPr="00985B97">
        <w:rPr>
          <w:rFonts w:asciiTheme="majorHAnsi" w:hAnsiTheme="majorHAnsi" w:cstheme="majorHAnsi"/>
          <w:lang w:val="es-ES"/>
        </w:rPr>
        <w:t>)</w:t>
      </w:r>
      <w:r w:rsidRPr="00985B97">
        <w:rPr>
          <w:rFonts w:asciiTheme="majorHAnsi" w:hAnsiTheme="majorHAnsi" w:cstheme="majorHAnsi"/>
          <w:lang w:val="es-ES"/>
        </w:rPr>
        <w:t xml:space="preserve"> sustenta una posición </w:t>
      </w:r>
      <w:r w:rsidR="003C0F50" w:rsidRPr="00985B97">
        <w:rPr>
          <w:rFonts w:asciiTheme="majorHAnsi" w:hAnsiTheme="majorHAnsi" w:cstheme="majorHAnsi"/>
          <w:lang w:val="es-ES"/>
        </w:rPr>
        <w:t>muy</w:t>
      </w:r>
      <w:r w:rsidRPr="00985B97">
        <w:rPr>
          <w:rFonts w:asciiTheme="majorHAnsi" w:hAnsiTheme="majorHAnsi" w:cstheme="majorHAnsi"/>
          <w:lang w:val="es-ES"/>
        </w:rPr>
        <w:t xml:space="preserve"> favorable de Brasil en los indicadores internacionales de transición energética: el Energy </w:t>
      </w:r>
      <w:proofErr w:type="spellStart"/>
      <w:r w:rsidRPr="00985B97">
        <w:rPr>
          <w:rFonts w:asciiTheme="majorHAnsi" w:hAnsiTheme="majorHAnsi" w:cstheme="majorHAnsi"/>
          <w:lang w:val="es-ES"/>
        </w:rPr>
        <w:t>Transition</w:t>
      </w:r>
      <w:proofErr w:type="spellEnd"/>
      <w:r w:rsidRPr="00985B97">
        <w:rPr>
          <w:rFonts w:asciiTheme="majorHAnsi" w:hAnsiTheme="majorHAnsi" w:cstheme="majorHAnsi"/>
          <w:lang w:val="es-ES"/>
        </w:rPr>
        <w:t xml:space="preserve"> </w:t>
      </w:r>
      <w:proofErr w:type="spellStart"/>
      <w:r w:rsidRPr="00985B97">
        <w:rPr>
          <w:rFonts w:asciiTheme="majorHAnsi" w:hAnsiTheme="majorHAnsi" w:cstheme="majorHAnsi"/>
          <w:lang w:val="es-ES"/>
        </w:rPr>
        <w:t>Index</w:t>
      </w:r>
      <w:proofErr w:type="spellEnd"/>
      <w:r w:rsidRPr="00985B97">
        <w:rPr>
          <w:rFonts w:asciiTheme="majorHAnsi" w:hAnsiTheme="majorHAnsi" w:cstheme="majorHAnsi"/>
          <w:lang w:val="es-ES"/>
        </w:rPr>
        <w:t xml:space="preserve"> del Foro Económico Mundial ubicó a Brasil en el puesto 15 de 118 países en su edición de 2025</w:t>
      </w:r>
      <w:r w:rsidR="003C0F50" w:rsidRPr="00985B97">
        <w:rPr>
          <w:rFonts w:asciiTheme="majorHAnsi" w:hAnsiTheme="majorHAnsi" w:cstheme="majorHAnsi"/>
          <w:lang w:val="es-ES"/>
        </w:rPr>
        <w:t>, destacando al país carioca</w:t>
      </w:r>
      <w:r w:rsidRPr="00985B97">
        <w:rPr>
          <w:rFonts w:asciiTheme="majorHAnsi" w:hAnsiTheme="majorHAnsi" w:cstheme="majorHAnsi"/>
          <w:lang w:val="es-ES"/>
        </w:rPr>
        <w:t xml:space="preserve"> como referente regional en diversificación energética (</w:t>
      </w:r>
      <w:bookmarkStart w:id="180" w:name="_Hlk234688358"/>
      <w:proofErr w:type="spellStart"/>
      <w:r w:rsidRPr="00985B97">
        <w:rPr>
          <w:rFonts w:asciiTheme="majorHAnsi" w:hAnsiTheme="majorHAnsi" w:cstheme="majorHAnsi"/>
          <w:lang w:val="es-ES"/>
        </w:rPr>
        <w:t>World</w:t>
      </w:r>
      <w:proofErr w:type="spellEnd"/>
      <w:r w:rsidRPr="00985B97">
        <w:rPr>
          <w:rFonts w:asciiTheme="majorHAnsi" w:hAnsiTheme="majorHAnsi" w:cstheme="majorHAnsi"/>
          <w:lang w:val="es-ES"/>
        </w:rPr>
        <w:t xml:space="preserve"> </w:t>
      </w:r>
      <w:proofErr w:type="spellStart"/>
      <w:r w:rsidRPr="00985B97">
        <w:rPr>
          <w:rFonts w:asciiTheme="majorHAnsi" w:hAnsiTheme="majorHAnsi" w:cstheme="majorHAnsi"/>
          <w:lang w:val="es-ES"/>
        </w:rPr>
        <w:t>Economic</w:t>
      </w:r>
      <w:proofErr w:type="spellEnd"/>
      <w:r w:rsidRPr="00985B97">
        <w:rPr>
          <w:rFonts w:asciiTheme="majorHAnsi" w:hAnsiTheme="majorHAnsi" w:cstheme="majorHAnsi"/>
          <w:lang w:val="es-ES"/>
        </w:rPr>
        <w:t xml:space="preserve"> </w:t>
      </w:r>
      <w:proofErr w:type="spellStart"/>
      <w:r w:rsidRPr="00985B97">
        <w:rPr>
          <w:rFonts w:asciiTheme="majorHAnsi" w:hAnsiTheme="majorHAnsi" w:cstheme="majorHAnsi"/>
          <w:lang w:val="es-ES"/>
        </w:rPr>
        <w:t>Forum</w:t>
      </w:r>
      <w:proofErr w:type="spellEnd"/>
      <w:r w:rsidRPr="00985B97">
        <w:rPr>
          <w:rFonts w:asciiTheme="majorHAnsi" w:hAnsiTheme="majorHAnsi" w:cstheme="majorHAnsi"/>
          <w:lang w:val="es-ES"/>
        </w:rPr>
        <w:t xml:space="preserve">, </w:t>
      </w:r>
      <w:proofErr w:type="spellStart"/>
      <w:r w:rsidRPr="00985B97">
        <w:rPr>
          <w:rFonts w:asciiTheme="majorHAnsi" w:hAnsiTheme="majorHAnsi" w:cstheme="majorHAnsi"/>
          <w:lang w:val="es-ES"/>
        </w:rPr>
        <w:t>Fostering</w:t>
      </w:r>
      <w:proofErr w:type="spellEnd"/>
      <w:r w:rsidRPr="00985B97">
        <w:rPr>
          <w:rFonts w:asciiTheme="majorHAnsi" w:hAnsiTheme="majorHAnsi" w:cstheme="majorHAnsi"/>
          <w:lang w:val="es-ES"/>
        </w:rPr>
        <w:t xml:space="preserve"> </w:t>
      </w:r>
      <w:proofErr w:type="spellStart"/>
      <w:r w:rsidRPr="00985B97">
        <w:rPr>
          <w:rFonts w:asciiTheme="majorHAnsi" w:hAnsiTheme="majorHAnsi" w:cstheme="majorHAnsi"/>
          <w:lang w:val="es-ES"/>
        </w:rPr>
        <w:t>Effective</w:t>
      </w:r>
      <w:proofErr w:type="spellEnd"/>
      <w:r w:rsidRPr="00985B97">
        <w:rPr>
          <w:rFonts w:asciiTheme="majorHAnsi" w:hAnsiTheme="majorHAnsi" w:cstheme="majorHAnsi"/>
          <w:lang w:val="es-ES"/>
        </w:rPr>
        <w:t xml:space="preserve"> Energy </w:t>
      </w:r>
      <w:proofErr w:type="spellStart"/>
      <w:r w:rsidRPr="00985B97">
        <w:rPr>
          <w:rFonts w:asciiTheme="majorHAnsi" w:hAnsiTheme="majorHAnsi" w:cstheme="majorHAnsi"/>
          <w:lang w:val="es-ES"/>
        </w:rPr>
        <w:t>Transition</w:t>
      </w:r>
      <w:proofErr w:type="spellEnd"/>
      <w:r w:rsidRPr="00985B97">
        <w:rPr>
          <w:rFonts w:asciiTheme="majorHAnsi" w:hAnsiTheme="majorHAnsi" w:cstheme="majorHAnsi"/>
          <w:lang w:val="es-ES"/>
        </w:rPr>
        <w:t xml:space="preserve"> 2025</w:t>
      </w:r>
      <w:bookmarkEnd w:id="180"/>
      <w:r w:rsidR="003C0F50" w:rsidRPr="00985B97">
        <w:rPr>
          <w:rFonts w:asciiTheme="majorHAnsi" w:hAnsiTheme="majorHAnsi" w:cstheme="majorHAnsi"/>
          <w:lang w:val="es-ES"/>
        </w:rPr>
        <w:t>).</w:t>
      </w:r>
    </w:p>
    <w:p w14:paraId="7E8964CE" w14:textId="77777777" w:rsidR="00622B8B" w:rsidRPr="00985B97" w:rsidRDefault="003C0F50"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Sumado a esto,</w:t>
      </w:r>
      <w:r w:rsidR="00622B8B" w:rsidRPr="00985B97">
        <w:rPr>
          <w:rFonts w:asciiTheme="majorHAnsi" w:hAnsiTheme="majorHAnsi" w:cstheme="majorHAnsi"/>
          <w:lang w:val="es-ES"/>
        </w:rPr>
        <w:t xml:space="preserve"> el </w:t>
      </w:r>
      <w:proofErr w:type="spellStart"/>
      <w:r w:rsidR="00622B8B" w:rsidRPr="00985B97">
        <w:rPr>
          <w:rFonts w:asciiTheme="majorHAnsi" w:hAnsiTheme="majorHAnsi" w:cstheme="majorHAnsi"/>
          <w:lang w:val="es-ES"/>
        </w:rPr>
        <w:t>Balanço</w:t>
      </w:r>
      <w:proofErr w:type="spellEnd"/>
      <w:r w:rsidR="00622B8B" w:rsidRPr="00985B97">
        <w:rPr>
          <w:rFonts w:asciiTheme="majorHAnsi" w:hAnsiTheme="majorHAnsi" w:cstheme="majorHAnsi"/>
          <w:lang w:val="es-ES"/>
        </w:rPr>
        <w:t xml:space="preserve"> Energético Nacional 2026 de la </w:t>
      </w:r>
      <w:bookmarkStart w:id="181" w:name="_Hlk234688408"/>
      <w:r w:rsidR="00622B8B" w:rsidRPr="00985B97">
        <w:rPr>
          <w:rFonts w:asciiTheme="majorHAnsi" w:hAnsiTheme="majorHAnsi" w:cstheme="majorHAnsi"/>
          <w:lang w:val="es-ES"/>
        </w:rPr>
        <w:t xml:space="preserve">Empresa de Pesquisa Energética (EPE) </w:t>
      </w:r>
      <w:bookmarkEnd w:id="181"/>
      <w:r w:rsidRPr="00985B97">
        <w:rPr>
          <w:rFonts w:asciiTheme="majorHAnsi" w:hAnsiTheme="majorHAnsi" w:cstheme="majorHAnsi"/>
          <w:lang w:val="es-ES"/>
        </w:rPr>
        <w:t>ha reportado</w:t>
      </w:r>
      <w:r w:rsidR="00622B8B" w:rsidRPr="00985B97">
        <w:rPr>
          <w:rFonts w:asciiTheme="majorHAnsi" w:hAnsiTheme="majorHAnsi" w:cstheme="majorHAnsi"/>
          <w:lang w:val="es-ES"/>
        </w:rPr>
        <w:t xml:space="preserve"> que la participación de renovables en la matriz eléctrica brasileña alcanzó 86,8% en 2025, con eólica y solar aportando conjuntamente 26,4% de la generación total (</w:t>
      </w:r>
      <w:bookmarkStart w:id="182" w:name="_Hlk234688393"/>
      <w:r w:rsidR="00622B8B" w:rsidRPr="00985B97">
        <w:rPr>
          <w:rFonts w:asciiTheme="majorHAnsi" w:hAnsiTheme="majorHAnsi" w:cstheme="majorHAnsi"/>
          <w:lang w:val="es-ES"/>
        </w:rPr>
        <w:t>EPE, 2026</w:t>
      </w:r>
      <w:bookmarkEnd w:id="182"/>
      <w:r w:rsidR="00622B8B" w:rsidRPr="00985B97">
        <w:rPr>
          <w:rFonts w:asciiTheme="majorHAnsi" w:hAnsiTheme="majorHAnsi" w:cstheme="majorHAnsi"/>
          <w:lang w:val="es-ES"/>
        </w:rPr>
        <w:t>).</w:t>
      </w:r>
    </w:p>
    <w:p w14:paraId="77ED1EE1" w14:textId="77777777" w:rsidR="00622B8B" w:rsidRPr="00985B97" w:rsidRDefault="003C0F50"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A diferencia de Colombia, </w:t>
      </w:r>
      <w:r w:rsidR="00412AC1" w:rsidRPr="00985B97">
        <w:rPr>
          <w:rFonts w:asciiTheme="majorHAnsi" w:hAnsiTheme="majorHAnsi" w:cstheme="majorHAnsi"/>
          <w:lang w:val="es-ES"/>
        </w:rPr>
        <w:t xml:space="preserve">aquí </w:t>
      </w:r>
      <w:r w:rsidR="00622B8B" w:rsidRPr="00985B97">
        <w:rPr>
          <w:rFonts w:asciiTheme="majorHAnsi" w:hAnsiTheme="majorHAnsi" w:cstheme="majorHAnsi"/>
          <w:lang w:val="es-ES"/>
        </w:rPr>
        <w:t xml:space="preserve">la multiplicidad de actores con capacidad de bloqueo </w:t>
      </w:r>
      <w:r w:rsidRPr="00985B97">
        <w:rPr>
          <w:rFonts w:asciiTheme="majorHAnsi" w:hAnsiTheme="majorHAnsi" w:cstheme="majorHAnsi"/>
          <w:lang w:val="es-ES"/>
        </w:rPr>
        <w:t>(</w:t>
      </w:r>
      <w:proofErr w:type="spellStart"/>
      <w:r w:rsidRPr="00985B97">
        <w:rPr>
          <w:rFonts w:asciiTheme="majorHAnsi" w:hAnsiTheme="majorHAnsi" w:cstheme="majorHAnsi"/>
          <w:lang w:val="es-ES"/>
        </w:rPr>
        <w:t>Tsebelis</w:t>
      </w:r>
      <w:proofErr w:type="spellEnd"/>
      <w:r w:rsidRPr="00985B97">
        <w:rPr>
          <w:rFonts w:asciiTheme="majorHAnsi" w:hAnsiTheme="majorHAnsi" w:cstheme="majorHAnsi"/>
          <w:lang w:val="es-ES"/>
        </w:rPr>
        <w:t xml:space="preserve">, 2002) </w:t>
      </w:r>
      <w:r w:rsidR="00622B8B" w:rsidRPr="00985B97">
        <w:rPr>
          <w:rFonts w:asciiTheme="majorHAnsi" w:hAnsiTheme="majorHAnsi" w:cstheme="majorHAnsi"/>
          <w:lang w:val="es-ES"/>
        </w:rPr>
        <w:t xml:space="preserve">no se </w:t>
      </w:r>
      <w:r w:rsidRPr="00985B97">
        <w:rPr>
          <w:rFonts w:asciiTheme="majorHAnsi" w:hAnsiTheme="majorHAnsi" w:cstheme="majorHAnsi"/>
          <w:lang w:val="es-ES"/>
        </w:rPr>
        <w:t>representa</w:t>
      </w:r>
      <w:r w:rsidR="00622B8B" w:rsidRPr="00985B97">
        <w:rPr>
          <w:rFonts w:asciiTheme="majorHAnsi" w:hAnsiTheme="majorHAnsi" w:cstheme="majorHAnsi"/>
          <w:lang w:val="es-ES"/>
        </w:rPr>
        <w:t xml:space="preserve"> </w:t>
      </w:r>
      <w:r w:rsidRPr="00985B97">
        <w:rPr>
          <w:rFonts w:asciiTheme="majorHAnsi" w:hAnsiTheme="majorHAnsi" w:cstheme="majorHAnsi"/>
          <w:lang w:val="es-ES"/>
        </w:rPr>
        <w:t>u</w:t>
      </w:r>
      <w:r w:rsidR="00622B8B" w:rsidRPr="00985B97">
        <w:rPr>
          <w:rFonts w:asciiTheme="majorHAnsi" w:hAnsiTheme="majorHAnsi" w:cstheme="majorHAnsi"/>
          <w:lang w:val="es-ES"/>
        </w:rPr>
        <w:t>n</w:t>
      </w:r>
      <w:r w:rsidRPr="00985B97">
        <w:rPr>
          <w:rFonts w:asciiTheme="majorHAnsi" w:hAnsiTheme="majorHAnsi" w:cstheme="majorHAnsi"/>
          <w:lang w:val="es-ES"/>
        </w:rPr>
        <w:t>a</w:t>
      </w:r>
      <w:r w:rsidR="00622B8B" w:rsidRPr="00985B97">
        <w:rPr>
          <w:rFonts w:asciiTheme="majorHAnsi" w:hAnsiTheme="majorHAnsi" w:cstheme="majorHAnsi"/>
          <w:lang w:val="es-ES"/>
        </w:rPr>
        <w:t xml:space="preserve"> parálisis legislativa cuando existe un mecanismo institucionalizado de agregación de preferencias antes del ingreso del proyecto a comisión. </w:t>
      </w:r>
      <w:r w:rsidRPr="00985B97">
        <w:rPr>
          <w:rFonts w:asciiTheme="majorHAnsi" w:hAnsiTheme="majorHAnsi" w:cstheme="majorHAnsi"/>
          <w:lang w:val="es-ES"/>
        </w:rPr>
        <w:t>En Brasil las comisiones de energía tienden a ratificar acuerdos ya construidos en instancias previas, lo que reduce sensiblemente su función de veto efectivo, mientras que e</w:t>
      </w:r>
      <w:r w:rsidR="00622B8B" w:rsidRPr="00985B97">
        <w:rPr>
          <w:rFonts w:asciiTheme="majorHAnsi" w:hAnsiTheme="majorHAnsi" w:cstheme="majorHAnsi"/>
          <w:lang w:val="es-ES"/>
        </w:rPr>
        <w:t xml:space="preserve">n Colombia, el </w:t>
      </w:r>
      <w:proofErr w:type="spellStart"/>
      <w:r w:rsidR="00622B8B" w:rsidRPr="00985B97">
        <w:rPr>
          <w:rFonts w:asciiTheme="majorHAnsi" w:hAnsiTheme="majorHAnsi" w:cstheme="majorHAnsi"/>
          <w:lang w:val="es-ES"/>
        </w:rPr>
        <w:t>gatekeeping</w:t>
      </w:r>
      <w:proofErr w:type="spellEnd"/>
      <w:r w:rsidR="00622B8B" w:rsidRPr="00985B97">
        <w:rPr>
          <w:rFonts w:asciiTheme="majorHAnsi" w:hAnsiTheme="majorHAnsi" w:cstheme="majorHAnsi"/>
          <w:lang w:val="es-ES"/>
        </w:rPr>
        <w:t xml:space="preserve"> en materia energética se concentra en la Comisión Quinta del Senado y la Comisión Sexta de la Cámara, instancias en las que se archiva la mayoría de las iniciativas ministeriales sobre </w:t>
      </w:r>
      <w:r w:rsidRPr="00985B97">
        <w:rPr>
          <w:rFonts w:asciiTheme="majorHAnsi" w:hAnsiTheme="majorHAnsi" w:cstheme="majorHAnsi"/>
          <w:lang w:val="es-ES"/>
        </w:rPr>
        <w:t>el tema</w:t>
      </w:r>
      <w:r w:rsidR="00622B8B" w:rsidRPr="00985B97">
        <w:rPr>
          <w:rFonts w:asciiTheme="majorHAnsi" w:hAnsiTheme="majorHAnsi" w:cstheme="majorHAnsi"/>
          <w:lang w:val="es-ES"/>
        </w:rPr>
        <w:t xml:space="preserve">, sin que exista un espacio equivalente al FONTE o al CNPE que anticipe y neutralice esos puntos de veto antes de la radicación formal. </w:t>
      </w:r>
    </w:p>
    <w:p w14:paraId="5EC69B3E" w14:textId="77777777" w:rsidR="00776899" w:rsidRPr="00985B97" w:rsidRDefault="00776899" w:rsidP="00985B97">
      <w:pPr>
        <w:pBdr>
          <w:top w:val="nil"/>
          <w:left w:val="nil"/>
          <w:bottom w:val="nil"/>
          <w:right w:val="nil"/>
          <w:between w:val="nil"/>
        </w:pBdr>
        <w:spacing w:before="240" w:after="0"/>
        <w:jc w:val="both"/>
        <w:rPr>
          <w:rFonts w:asciiTheme="majorHAnsi" w:hAnsiTheme="majorHAnsi" w:cstheme="majorHAnsi"/>
          <w:b/>
          <w:bCs/>
          <w:lang w:val="es-ES"/>
        </w:rPr>
      </w:pPr>
      <w:r w:rsidRPr="00985B97">
        <w:rPr>
          <w:rFonts w:asciiTheme="majorHAnsi" w:hAnsiTheme="majorHAnsi" w:cstheme="majorHAnsi"/>
          <w:b/>
          <w:bCs/>
          <w:lang w:val="es-ES"/>
        </w:rPr>
        <w:t>Tabla 2.</w:t>
      </w:r>
    </w:p>
    <w:p w14:paraId="043E7CF5" w14:textId="77777777" w:rsidR="00776899" w:rsidRPr="00985B97" w:rsidRDefault="00776899" w:rsidP="00985B97">
      <w:pPr>
        <w:pBdr>
          <w:top w:val="nil"/>
          <w:left w:val="nil"/>
          <w:bottom w:val="nil"/>
          <w:right w:val="nil"/>
          <w:between w:val="nil"/>
        </w:pBdr>
        <w:spacing w:after="0"/>
        <w:jc w:val="both"/>
        <w:rPr>
          <w:rFonts w:asciiTheme="majorHAnsi" w:hAnsiTheme="majorHAnsi" w:cstheme="majorHAnsi"/>
          <w:b/>
          <w:bCs/>
          <w:lang w:val="es-ES"/>
        </w:rPr>
      </w:pPr>
      <w:r w:rsidRPr="00985B97">
        <w:rPr>
          <w:rStyle w:val="normaltextrun"/>
          <w:rFonts w:asciiTheme="majorHAnsi" w:hAnsiTheme="majorHAnsi" w:cstheme="majorHAnsi"/>
          <w:b/>
          <w:bCs/>
          <w:color w:val="242424"/>
          <w:shd w:val="clear" w:color="auto" w:fill="FFFFFF"/>
          <w:lang w:val="es-ES"/>
        </w:rPr>
        <w:t xml:space="preserve">Comparación Dinámica </w:t>
      </w:r>
      <w:r w:rsidR="001D4B0A" w:rsidRPr="00985B97">
        <w:rPr>
          <w:rStyle w:val="normaltextrun"/>
          <w:rFonts w:asciiTheme="majorHAnsi" w:hAnsiTheme="majorHAnsi" w:cstheme="majorHAnsi"/>
          <w:b/>
          <w:bCs/>
          <w:color w:val="242424"/>
          <w:shd w:val="clear" w:color="auto" w:fill="FFFFFF"/>
          <w:lang w:val="es-ES"/>
        </w:rPr>
        <w:t>legislativo</w:t>
      </w:r>
      <w:r w:rsidRPr="00985B97">
        <w:rPr>
          <w:rStyle w:val="normaltextrun"/>
          <w:rFonts w:asciiTheme="majorHAnsi" w:hAnsiTheme="majorHAnsi" w:cstheme="majorHAnsi"/>
          <w:b/>
          <w:bCs/>
          <w:color w:val="242424"/>
          <w:shd w:val="clear" w:color="auto" w:fill="FFFFFF"/>
          <w:lang w:val="es-ES"/>
        </w:rPr>
        <w:t>-</w:t>
      </w:r>
      <w:r w:rsidR="001D4B0A" w:rsidRPr="00985B97">
        <w:rPr>
          <w:rStyle w:val="normaltextrun"/>
          <w:rFonts w:asciiTheme="majorHAnsi" w:hAnsiTheme="majorHAnsi" w:cstheme="majorHAnsi"/>
          <w:b/>
          <w:bCs/>
          <w:color w:val="242424"/>
          <w:shd w:val="clear" w:color="auto" w:fill="FFFFFF"/>
          <w:lang w:val="es-ES"/>
        </w:rPr>
        <w:t>ejecutivo</w:t>
      </w:r>
      <w:r w:rsidRPr="00985B97">
        <w:rPr>
          <w:rStyle w:val="normaltextrun"/>
          <w:rFonts w:asciiTheme="majorHAnsi" w:hAnsiTheme="majorHAnsi" w:cstheme="majorHAnsi"/>
          <w:b/>
          <w:bCs/>
          <w:color w:val="242424"/>
          <w:shd w:val="clear" w:color="auto" w:fill="FFFFFF"/>
          <w:lang w:val="es-ES"/>
        </w:rPr>
        <w:t xml:space="preserve"> Colombia - Brasil</w:t>
      </w:r>
      <w:r w:rsidRPr="00985B97">
        <w:rPr>
          <w:rFonts w:asciiTheme="majorHAnsi" w:hAnsiTheme="majorHAnsi" w:cstheme="majorHAnsi"/>
          <w:b/>
          <w:bCs/>
          <w:lang w:val="es-ES"/>
        </w:rPr>
        <w:t> </w:t>
      </w:r>
    </w:p>
    <w:p w14:paraId="6C4C77E7" w14:textId="77777777" w:rsidR="00776899" w:rsidRPr="00985B97" w:rsidRDefault="00776899" w:rsidP="00985B97">
      <w:pPr>
        <w:pBdr>
          <w:top w:val="nil"/>
          <w:left w:val="nil"/>
          <w:bottom w:val="nil"/>
          <w:right w:val="nil"/>
          <w:between w:val="nil"/>
        </w:pBdr>
        <w:spacing w:after="0"/>
        <w:jc w:val="both"/>
        <w:rPr>
          <w:rFonts w:asciiTheme="majorHAnsi" w:hAnsiTheme="majorHAnsi" w:cstheme="majorHAnsi"/>
          <w:b/>
          <w:bCs/>
          <w:lang w:val="es-ES"/>
        </w:rPr>
      </w:pPr>
    </w:p>
    <w:tbl>
      <w:tblPr>
        <w:tblStyle w:val="Tablaconcuadrcula2-nfasis6"/>
        <w:tblW w:w="8591" w:type="dxa"/>
        <w:tblLayout w:type="fixed"/>
        <w:tblLook w:val="04A0" w:firstRow="1" w:lastRow="0" w:firstColumn="1" w:lastColumn="0" w:noHBand="0" w:noVBand="1"/>
      </w:tblPr>
      <w:tblGrid>
        <w:gridCol w:w="1909"/>
        <w:gridCol w:w="2103"/>
        <w:gridCol w:w="2608"/>
        <w:gridCol w:w="1971"/>
      </w:tblGrid>
      <w:tr w:rsidR="00776899" w:rsidRPr="00985B97" w14:paraId="6CA5404C" w14:textId="77777777" w:rsidTr="00FC408E">
        <w:trPr>
          <w:cnfStyle w:val="100000000000" w:firstRow="1" w:lastRow="0" w:firstColumn="0" w:lastColumn="0" w:oddVBand="0" w:evenVBand="0" w:oddHBand="0" w:evenHBand="0" w:firstRowFirstColumn="0" w:firstRowLastColumn="0" w:lastRowFirstColumn="0" w:lastRowLastColumn="0"/>
          <w:trHeight w:val="337"/>
        </w:trPr>
        <w:tc>
          <w:tcPr>
            <w:cnfStyle w:val="001000000000" w:firstRow="0" w:lastRow="0" w:firstColumn="1" w:lastColumn="0" w:oddVBand="0" w:evenVBand="0" w:oddHBand="0" w:evenHBand="0" w:firstRowFirstColumn="0" w:firstRowLastColumn="0" w:lastRowFirstColumn="0" w:lastRowLastColumn="0"/>
            <w:tcW w:w="1909" w:type="dxa"/>
            <w:vAlign w:val="center"/>
            <w:hideMark/>
          </w:tcPr>
          <w:p w14:paraId="4CA0BBE6" w14:textId="77777777" w:rsidR="00776899" w:rsidRPr="00985B97" w:rsidRDefault="00776899" w:rsidP="00985B97">
            <w:pPr>
              <w:jc w:val="center"/>
              <w:textAlignment w:val="baseline"/>
              <w:rPr>
                <w:rFonts w:asciiTheme="majorHAnsi" w:hAnsiTheme="majorHAnsi" w:cstheme="majorHAnsi"/>
              </w:rPr>
            </w:pPr>
            <w:r w:rsidRPr="00985B97">
              <w:rPr>
                <w:rFonts w:asciiTheme="majorHAnsi" w:hAnsiTheme="majorHAnsi" w:cstheme="majorHAnsi"/>
                <w:color w:val="27251E"/>
                <w:lang w:val="es-ES"/>
              </w:rPr>
              <w:t>Dimensión</w:t>
            </w:r>
          </w:p>
        </w:tc>
        <w:tc>
          <w:tcPr>
            <w:tcW w:w="2103" w:type="dxa"/>
            <w:vAlign w:val="center"/>
            <w:hideMark/>
          </w:tcPr>
          <w:p w14:paraId="4D553E72" w14:textId="77777777" w:rsidR="00776899" w:rsidRPr="00985B97" w:rsidRDefault="00776899" w:rsidP="00985B97">
            <w:pPr>
              <w:jc w:val="center"/>
              <w:textAlignment w:val="baseline"/>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27251E"/>
                <w:lang w:val="es-ES"/>
              </w:rPr>
              <w:t>Colombia</w:t>
            </w:r>
          </w:p>
        </w:tc>
        <w:tc>
          <w:tcPr>
            <w:tcW w:w="2608" w:type="dxa"/>
            <w:vAlign w:val="center"/>
            <w:hideMark/>
          </w:tcPr>
          <w:p w14:paraId="5A4977B9" w14:textId="77777777" w:rsidR="00776899" w:rsidRPr="00985B97" w:rsidRDefault="00776899" w:rsidP="00985B97">
            <w:pPr>
              <w:jc w:val="center"/>
              <w:textAlignment w:val="baseline"/>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27251E"/>
                <w:lang w:val="es-ES"/>
              </w:rPr>
              <w:t>Brasil</w:t>
            </w:r>
          </w:p>
        </w:tc>
        <w:tc>
          <w:tcPr>
            <w:tcW w:w="1971" w:type="dxa"/>
            <w:vAlign w:val="center"/>
            <w:hideMark/>
          </w:tcPr>
          <w:p w14:paraId="4F82EC04" w14:textId="77777777" w:rsidR="00776899" w:rsidRPr="00985B97" w:rsidRDefault="00776899" w:rsidP="00985B97">
            <w:pPr>
              <w:jc w:val="center"/>
              <w:textAlignment w:val="baseline"/>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27251E"/>
                <w:lang w:val="es-ES"/>
              </w:rPr>
              <w:t>Implicancia TEJ</w:t>
            </w:r>
          </w:p>
        </w:tc>
      </w:tr>
      <w:tr w:rsidR="00622B8B" w:rsidRPr="00985B97" w14:paraId="26F7757B" w14:textId="77777777" w:rsidTr="00FC408E">
        <w:trPr>
          <w:cnfStyle w:val="000000100000" w:firstRow="0" w:lastRow="0" w:firstColumn="0" w:lastColumn="0" w:oddVBand="0" w:evenVBand="0" w:oddHBand="1" w:evenHBand="0" w:firstRowFirstColumn="0" w:firstRowLastColumn="0" w:lastRowFirstColumn="0" w:lastRowLastColumn="0"/>
          <w:trHeight w:val="674"/>
        </w:trPr>
        <w:tc>
          <w:tcPr>
            <w:cnfStyle w:val="001000000000" w:firstRow="0" w:lastRow="0" w:firstColumn="1" w:lastColumn="0" w:oddVBand="0" w:evenVBand="0" w:oddHBand="0" w:evenHBand="0" w:firstRowFirstColumn="0" w:firstRowLastColumn="0" w:lastRowFirstColumn="0" w:lastRowLastColumn="0"/>
            <w:tcW w:w="1909" w:type="dxa"/>
            <w:vAlign w:val="center"/>
            <w:hideMark/>
          </w:tcPr>
          <w:p w14:paraId="1AA0A490" w14:textId="77777777" w:rsidR="00622B8B" w:rsidRPr="00985B97" w:rsidRDefault="00622B8B" w:rsidP="00985B97">
            <w:pPr>
              <w:jc w:val="center"/>
              <w:textAlignment w:val="baseline"/>
              <w:rPr>
                <w:rFonts w:asciiTheme="majorHAnsi" w:hAnsiTheme="majorHAnsi" w:cstheme="majorHAnsi"/>
              </w:rPr>
            </w:pPr>
            <w:r w:rsidRPr="00985B97">
              <w:rPr>
                <w:rFonts w:asciiTheme="majorHAnsi" w:hAnsiTheme="majorHAnsi" w:cstheme="majorHAnsi"/>
              </w:rPr>
              <w:t>Fragmentación partidaria</w:t>
            </w:r>
          </w:p>
        </w:tc>
        <w:tc>
          <w:tcPr>
            <w:tcW w:w="2103" w:type="dxa"/>
            <w:vAlign w:val="center"/>
            <w:hideMark/>
          </w:tcPr>
          <w:p w14:paraId="1FD5F305" w14:textId="77777777" w:rsidR="00622B8B" w:rsidRPr="00985B97" w:rsidRDefault="00622B8B" w:rsidP="00985B97">
            <w:pPr>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Alta, sin mecanismo estable de agregación de preferencias</w:t>
            </w:r>
          </w:p>
        </w:tc>
        <w:tc>
          <w:tcPr>
            <w:tcW w:w="2608" w:type="dxa"/>
            <w:vAlign w:val="center"/>
            <w:hideMark/>
          </w:tcPr>
          <w:p w14:paraId="6DD8BDF6" w14:textId="77777777" w:rsidR="00622B8B" w:rsidRPr="00985B97" w:rsidRDefault="00622B8B" w:rsidP="00985B97">
            <w:pPr>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Alta, pero mediada por el CNPE y el FONTE antes del ingreso a comisión</w:t>
            </w:r>
          </w:p>
        </w:tc>
        <w:tc>
          <w:tcPr>
            <w:tcW w:w="1971" w:type="dxa"/>
            <w:vAlign w:val="center"/>
            <w:hideMark/>
          </w:tcPr>
          <w:p w14:paraId="2EFC7A95" w14:textId="77777777" w:rsidR="00622B8B" w:rsidRPr="00985B97" w:rsidRDefault="00622B8B" w:rsidP="00985B97">
            <w:pPr>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Brasil: acuerdos más predecibles</w:t>
            </w:r>
          </w:p>
        </w:tc>
      </w:tr>
      <w:tr w:rsidR="00622B8B" w:rsidRPr="00985B97" w14:paraId="7B616096" w14:textId="77777777" w:rsidTr="00FC408E">
        <w:trPr>
          <w:trHeight w:val="494"/>
        </w:trPr>
        <w:tc>
          <w:tcPr>
            <w:cnfStyle w:val="001000000000" w:firstRow="0" w:lastRow="0" w:firstColumn="1" w:lastColumn="0" w:oddVBand="0" w:evenVBand="0" w:oddHBand="0" w:evenHBand="0" w:firstRowFirstColumn="0" w:firstRowLastColumn="0" w:lastRowFirstColumn="0" w:lastRowLastColumn="0"/>
            <w:tcW w:w="1909" w:type="dxa"/>
            <w:vAlign w:val="center"/>
            <w:hideMark/>
          </w:tcPr>
          <w:p w14:paraId="7E62B0DE" w14:textId="77777777" w:rsidR="00622B8B" w:rsidRPr="00985B97" w:rsidRDefault="00622B8B" w:rsidP="00985B97">
            <w:pPr>
              <w:jc w:val="center"/>
              <w:textAlignment w:val="baseline"/>
              <w:rPr>
                <w:rFonts w:asciiTheme="majorHAnsi" w:hAnsiTheme="majorHAnsi" w:cstheme="majorHAnsi"/>
              </w:rPr>
            </w:pPr>
            <w:proofErr w:type="spellStart"/>
            <w:r w:rsidRPr="00985B97">
              <w:rPr>
                <w:rFonts w:asciiTheme="majorHAnsi" w:hAnsiTheme="majorHAnsi" w:cstheme="majorHAnsi"/>
              </w:rPr>
              <w:lastRenderedPageBreak/>
              <w:t>Gatekeeping</w:t>
            </w:r>
            <w:proofErr w:type="spellEnd"/>
            <w:r w:rsidRPr="00985B97">
              <w:rPr>
                <w:rFonts w:asciiTheme="majorHAnsi" w:hAnsiTheme="majorHAnsi" w:cstheme="majorHAnsi"/>
              </w:rPr>
              <w:t xml:space="preserve"> legislativo</w:t>
            </w:r>
          </w:p>
        </w:tc>
        <w:tc>
          <w:tcPr>
            <w:tcW w:w="2103" w:type="dxa"/>
            <w:vAlign w:val="center"/>
            <w:hideMark/>
          </w:tcPr>
          <w:p w14:paraId="2B2835E7" w14:textId="77777777" w:rsidR="00622B8B" w:rsidRPr="00985B97" w:rsidRDefault="00622B8B"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Concentrado en Comisión Quinta de Senado y Sexta de Cámara</w:t>
            </w:r>
          </w:p>
        </w:tc>
        <w:tc>
          <w:tcPr>
            <w:tcW w:w="2608" w:type="dxa"/>
            <w:vAlign w:val="center"/>
            <w:hideMark/>
          </w:tcPr>
          <w:p w14:paraId="40A89F22" w14:textId="77777777" w:rsidR="00622B8B" w:rsidRPr="00985B97" w:rsidRDefault="00622B8B"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Distribuido, con filtro previo en instancias interministeriales</w:t>
            </w:r>
          </w:p>
        </w:tc>
        <w:tc>
          <w:tcPr>
            <w:tcW w:w="1971" w:type="dxa"/>
            <w:vAlign w:val="center"/>
            <w:hideMark/>
          </w:tcPr>
          <w:p w14:paraId="1FEDA861" w14:textId="77777777" w:rsidR="00622B8B" w:rsidRPr="00985B97" w:rsidRDefault="00622B8B"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Colombia: mayor riesgo de archivo</w:t>
            </w:r>
          </w:p>
        </w:tc>
      </w:tr>
      <w:tr w:rsidR="00622B8B" w:rsidRPr="00985B97" w14:paraId="6B72D006" w14:textId="77777777" w:rsidTr="00FC408E">
        <w:trPr>
          <w:cnfStyle w:val="000000100000" w:firstRow="0" w:lastRow="0" w:firstColumn="0" w:lastColumn="0" w:oddVBand="0" w:evenVBand="0" w:oddHBand="1" w:evenHBand="0" w:firstRowFirstColumn="0" w:firstRowLastColumn="0" w:lastRowFirstColumn="0" w:lastRowLastColumn="0"/>
          <w:trHeight w:val="674"/>
        </w:trPr>
        <w:tc>
          <w:tcPr>
            <w:cnfStyle w:val="001000000000" w:firstRow="0" w:lastRow="0" w:firstColumn="1" w:lastColumn="0" w:oddVBand="0" w:evenVBand="0" w:oddHBand="0" w:evenHBand="0" w:firstRowFirstColumn="0" w:firstRowLastColumn="0" w:lastRowFirstColumn="0" w:lastRowLastColumn="0"/>
            <w:tcW w:w="1909" w:type="dxa"/>
            <w:vAlign w:val="center"/>
            <w:hideMark/>
          </w:tcPr>
          <w:p w14:paraId="61C3420B" w14:textId="77777777" w:rsidR="00622B8B" w:rsidRPr="00985B97" w:rsidRDefault="00622B8B" w:rsidP="00985B97">
            <w:pPr>
              <w:jc w:val="center"/>
              <w:textAlignment w:val="baseline"/>
              <w:rPr>
                <w:rFonts w:asciiTheme="majorHAnsi" w:hAnsiTheme="majorHAnsi" w:cstheme="majorHAnsi"/>
              </w:rPr>
            </w:pPr>
            <w:r w:rsidRPr="00985B97">
              <w:rPr>
                <w:rFonts w:asciiTheme="majorHAnsi" w:hAnsiTheme="majorHAnsi" w:cstheme="majorHAnsi"/>
              </w:rPr>
              <w:t>Capacidad técnica legislativa</w:t>
            </w:r>
          </w:p>
        </w:tc>
        <w:tc>
          <w:tcPr>
            <w:tcW w:w="2103" w:type="dxa"/>
            <w:vAlign w:val="center"/>
            <w:hideMark/>
          </w:tcPr>
          <w:p w14:paraId="1AC97B09" w14:textId="77777777" w:rsidR="00622B8B" w:rsidRPr="00985B97" w:rsidRDefault="00622B8B" w:rsidP="00985B97">
            <w:pPr>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UTL individuales, no especializadas</w:t>
            </w:r>
          </w:p>
        </w:tc>
        <w:tc>
          <w:tcPr>
            <w:tcW w:w="2608" w:type="dxa"/>
            <w:vAlign w:val="center"/>
            <w:hideMark/>
          </w:tcPr>
          <w:p w14:paraId="3E81D658" w14:textId="77777777" w:rsidR="00622B8B" w:rsidRPr="00985B97" w:rsidRDefault="00622B8B" w:rsidP="00985B97">
            <w:pPr>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CONLE: cuerpo técnico permanente y especializado</w:t>
            </w:r>
          </w:p>
        </w:tc>
        <w:tc>
          <w:tcPr>
            <w:tcW w:w="1971" w:type="dxa"/>
            <w:vAlign w:val="center"/>
            <w:hideMark/>
          </w:tcPr>
          <w:p w14:paraId="1608D227" w14:textId="77777777" w:rsidR="00622B8B" w:rsidRPr="00985B97" w:rsidRDefault="00622B8B" w:rsidP="00985B97">
            <w:pPr>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Brasil: menor asimetría de información</w:t>
            </w:r>
          </w:p>
        </w:tc>
      </w:tr>
      <w:tr w:rsidR="00622B8B" w:rsidRPr="00985B97" w14:paraId="140DA0FC" w14:textId="77777777" w:rsidTr="00FC408E">
        <w:trPr>
          <w:trHeight w:val="494"/>
        </w:trPr>
        <w:tc>
          <w:tcPr>
            <w:cnfStyle w:val="001000000000" w:firstRow="0" w:lastRow="0" w:firstColumn="1" w:lastColumn="0" w:oddVBand="0" w:evenVBand="0" w:oddHBand="0" w:evenHBand="0" w:firstRowFirstColumn="0" w:firstRowLastColumn="0" w:lastRowFirstColumn="0" w:lastRowLastColumn="0"/>
            <w:tcW w:w="1909" w:type="dxa"/>
            <w:vAlign w:val="center"/>
            <w:hideMark/>
          </w:tcPr>
          <w:p w14:paraId="2EA35650" w14:textId="77777777" w:rsidR="00622B8B" w:rsidRPr="00985B97" w:rsidRDefault="00622B8B" w:rsidP="00985B97">
            <w:pPr>
              <w:jc w:val="center"/>
              <w:textAlignment w:val="baseline"/>
              <w:rPr>
                <w:rFonts w:asciiTheme="majorHAnsi" w:hAnsiTheme="majorHAnsi" w:cstheme="majorHAnsi"/>
              </w:rPr>
            </w:pPr>
            <w:r w:rsidRPr="00985B97">
              <w:rPr>
                <w:rFonts w:asciiTheme="majorHAnsi" w:hAnsiTheme="majorHAnsi" w:cstheme="majorHAnsi"/>
              </w:rPr>
              <w:t>Mecanismo de negociación de recursos</w:t>
            </w:r>
          </w:p>
        </w:tc>
        <w:tc>
          <w:tcPr>
            <w:tcW w:w="2103" w:type="dxa"/>
            <w:vAlign w:val="center"/>
            <w:hideMark/>
          </w:tcPr>
          <w:p w14:paraId="4B3316B3" w14:textId="77777777" w:rsidR="00622B8B" w:rsidRPr="00985B97" w:rsidRDefault="00622B8B"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Ad hoc, sujeto a relaciones personales</w:t>
            </w:r>
          </w:p>
        </w:tc>
        <w:tc>
          <w:tcPr>
            <w:tcW w:w="2608" w:type="dxa"/>
            <w:vAlign w:val="center"/>
            <w:hideMark/>
          </w:tcPr>
          <w:p w14:paraId="01FAB07D" w14:textId="77777777" w:rsidR="00622B8B" w:rsidRPr="00985B97" w:rsidRDefault="00622B8B"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Institucionalizado (emendas parlamentares)</w:t>
            </w:r>
          </w:p>
        </w:tc>
        <w:tc>
          <w:tcPr>
            <w:tcW w:w="1971" w:type="dxa"/>
            <w:vAlign w:val="center"/>
            <w:hideMark/>
          </w:tcPr>
          <w:p w14:paraId="09516EA0" w14:textId="77777777" w:rsidR="00622B8B" w:rsidRPr="00985B97" w:rsidRDefault="00622B8B"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Brasil: disciplina de voto más predecible</w:t>
            </w:r>
          </w:p>
        </w:tc>
      </w:tr>
      <w:tr w:rsidR="00622B8B" w:rsidRPr="00985B97" w14:paraId="0426DD4B" w14:textId="77777777" w:rsidTr="00FC408E">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909" w:type="dxa"/>
            <w:vAlign w:val="center"/>
            <w:hideMark/>
          </w:tcPr>
          <w:p w14:paraId="69E59823" w14:textId="77777777" w:rsidR="00622B8B" w:rsidRPr="00985B97" w:rsidRDefault="00622B8B" w:rsidP="00985B97">
            <w:pPr>
              <w:jc w:val="center"/>
              <w:textAlignment w:val="baseline"/>
              <w:rPr>
                <w:rFonts w:asciiTheme="majorHAnsi" w:hAnsiTheme="majorHAnsi" w:cstheme="majorHAnsi"/>
              </w:rPr>
            </w:pPr>
            <w:r w:rsidRPr="00985B97">
              <w:rPr>
                <w:rFonts w:asciiTheme="majorHAnsi" w:hAnsiTheme="majorHAnsi" w:cstheme="majorHAnsi"/>
              </w:rPr>
              <w:t>Espacio de construcción de consenso previo</w:t>
            </w:r>
          </w:p>
        </w:tc>
        <w:tc>
          <w:tcPr>
            <w:tcW w:w="2103" w:type="dxa"/>
            <w:vAlign w:val="center"/>
            <w:hideMark/>
          </w:tcPr>
          <w:p w14:paraId="280A54F0" w14:textId="77777777" w:rsidR="00622B8B" w:rsidRPr="00985B97" w:rsidRDefault="00622B8B" w:rsidP="00985B97">
            <w:pPr>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Inexistente para energía</w:t>
            </w:r>
          </w:p>
        </w:tc>
        <w:tc>
          <w:tcPr>
            <w:tcW w:w="2608" w:type="dxa"/>
            <w:vAlign w:val="center"/>
            <w:hideMark/>
          </w:tcPr>
          <w:p w14:paraId="2F6951A8" w14:textId="77777777" w:rsidR="00622B8B" w:rsidRPr="00985B97" w:rsidRDefault="00622B8B" w:rsidP="00985B97">
            <w:pPr>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FONTE (87 miembros tripartitos)</w:t>
            </w:r>
          </w:p>
        </w:tc>
        <w:tc>
          <w:tcPr>
            <w:tcW w:w="1971" w:type="dxa"/>
            <w:vAlign w:val="center"/>
            <w:hideMark/>
          </w:tcPr>
          <w:p w14:paraId="766E6508" w14:textId="77777777" w:rsidR="00622B8B" w:rsidRPr="00985B97" w:rsidRDefault="00622B8B" w:rsidP="00985B97">
            <w:pPr>
              <w:jc w:val="center"/>
              <w:textAlignment w:val="baseline"/>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Brasil: reduce probabilidad de archivo</w:t>
            </w:r>
          </w:p>
        </w:tc>
      </w:tr>
    </w:tbl>
    <w:p w14:paraId="6204439C" w14:textId="77777777" w:rsidR="00776899" w:rsidRPr="00985B97" w:rsidRDefault="00776899"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b/>
          <w:bCs/>
        </w:rPr>
        <w:t>Fuente:</w:t>
      </w:r>
      <w:r w:rsidRPr="00985B97">
        <w:rPr>
          <w:rFonts w:asciiTheme="majorHAnsi" w:hAnsiTheme="majorHAnsi" w:cstheme="majorHAnsi"/>
        </w:rPr>
        <w:t xml:space="preserve"> Elaboración propia</w:t>
      </w:r>
      <w:r w:rsidR="00622B8B" w:rsidRPr="00985B97">
        <w:rPr>
          <w:rFonts w:asciiTheme="majorHAnsi" w:hAnsiTheme="majorHAnsi" w:cstheme="majorHAnsi"/>
        </w:rPr>
        <w:t xml:space="preserve">. Basado en </w:t>
      </w:r>
      <w:proofErr w:type="spellStart"/>
      <w:r w:rsidR="00622B8B" w:rsidRPr="00985B97">
        <w:rPr>
          <w:rFonts w:asciiTheme="majorHAnsi" w:hAnsiTheme="majorHAnsi" w:cstheme="majorHAnsi"/>
        </w:rPr>
        <w:t>Tsebelis</w:t>
      </w:r>
      <w:proofErr w:type="spellEnd"/>
      <w:r w:rsidR="00622B8B" w:rsidRPr="00985B97">
        <w:rPr>
          <w:rFonts w:asciiTheme="majorHAnsi" w:hAnsiTheme="majorHAnsi" w:cstheme="majorHAnsi"/>
        </w:rPr>
        <w:t xml:space="preserve"> (2002), Figueiredo y </w:t>
      </w:r>
      <w:proofErr w:type="spellStart"/>
      <w:r w:rsidR="00622B8B" w:rsidRPr="00985B97">
        <w:rPr>
          <w:rFonts w:asciiTheme="majorHAnsi" w:hAnsiTheme="majorHAnsi" w:cstheme="majorHAnsi"/>
        </w:rPr>
        <w:t>Limongi</w:t>
      </w:r>
      <w:proofErr w:type="spellEnd"/>
      <w:r w:rsidR="00622B8B" w:rsidRPr="00985B97">
        <w:rPr>
          <w:rFonts w:asciiTheme="majorHAnsi" w:hAnsiTheme="majorHAnsi" w:cstheme="majorHAnsi"/>
        </w:rPr>
        <w:t xml:space="preserve"> (1999).</w:t>
      </w:r>
    </w:p>
    <w:p w14:paraId="58A2AECF" w14:textId="77777777" w:rsidR="00643CB8" w:rsidRPr="00985B97" w:rsidRDefault="00622B8B"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rPr>
        <w:t>El caso brasileño muestra que la fragmentación partidaria</w:t>
      </w:r>
      <w:r w:rsidR="00412AC1" w:rsidRPr="00985B97">
        <w:rPr>
          <w:rFonts w:asciiTheme="majorHAnsi" w:hAnsiTheme="majorHAnsi" w:cstheme="majorHAnsi"/>
        </w:rPr>
        <w:t xml:space="preserve">, que es </w:t>
      </w:r>
      <w:r w:rsidRPr="00985B97">
        <w:rPr>
          <w:rFonts w:asciiTheme="majorHAnsi" w:hAnsiTheme="majorHAnsi" w:cstheme="majorHAnsi"/>
        </w:rPr>
        <w:t>igual o mayor a la colombiana en número de partidos con representación parlamentaria</w:t>
      </w:r>
      <w:r w:rsidR="00412AC1" w:rsidRPr="00985B97">
        <w:rPr>
          <w:rFonts w:asciiTheme="majorHAnsi" w:hAnsiTheme="majorHAnsi" w:cstheme="majorHAnsi"/>
        </w:rPr>
        <w:t>,</w:t>
      </w:r>
      <w:r w:rsidRPr="00985B97">
        <w:rPr>
          <w:rFonts w:asciiTheme="majorHAnsi" w:hAnsiTheme="majorHAnsi" w:cstheme="majorHAnsi"/>
        </w:rPr>
        <w:t xml:space="preserve"> no es</w:t>
      </w:r>
      <w:r w:rsidR="00412AC1" w:rsidRPr="00985B97">
        <w:rPr>
          <w:rFonts w:asciiTheme="majorHAnsi" w:hAnsiTheme="majorHAnsi" w:cstheme="majorHAnsi"/>
        </w:rPr>
        <w:t xml:space="preserve"> un</w:t>
      </w:r>
      <w:r w:rsidRPr="00985B97">
        <w:rPr>
          <w:rFonts w:asciiTheme="majorHAnsi" w:hAnsiTheme="majorHAnsi" w:cstheme="majorHAnsi"/>
        </w:rPr>
        <w:t>a variable que expli</w:t>
      </w:r>
      <w:r w:rsidR="00412AC1" w:rsidRPr="00985B97">
        <w:rPr>
          <w:rFonts w:asciiTheme="majorHAnsi" w:hAnsiTheme="majorHAnsi" w:cstheme="majorHAnsi"/>
        </w:rPr>
        <w:t>que</w:t>
      </w:r>
      <w:r w:rsidRPr="00985B97">
        <w:rPr>
          <w:rFonts w:asciiTheme="majorHAnsi" w:hAnsiTheme="majorHAnsi" w:cstheme="majorHAnsi"/>
        </w:rPr>
        <w:t xml:space="preserve"> la mayor estabilidad de la agenda energética. Lo que </w:t>
      </w:r>
      <w:r w:rsidR="00412AC1" w:rsidRPr="00985B97">
        <w:rPr>
          <w:rFonts w:asciiTheme="majorHAnsi" w:hAnsiTheme="majorHAnsi" w:cstheme="majorHAnsi"/>
        </w:rPr>
        <w:t>diferencia</w:t>
      </w:r>
      <w:r w:rsidRPr="00985B97">
        <w:rPr>
          <w:rFonts w:asciiTheme="majorHAnsi" w:hAnsiTheme="majorHAnsi" w:cstheme="majorHAnsi"/>
        </w:rPr>
        <w:t xml:space="preserve"> a Brasil es la combinación de un poder de agenda presidencial constitucionalmente robusto, un mecanismo institucionalizado y predecible de negociación de recursos, un espacio de construcción de consenso previo a la radicación (FONTE) y una capacidad técnico-legislativa especializada (CONLE) </w:t>
      </w:r>
      <w:r w:rsidR="00412AC1" w:rsidRPr="00985B97">
        <w:rPr>
          <w:rFonts w:asciiTheme="majorHAnsi" w:hAnsiTheme="majorHAnsi" w:cstheme="majorHAnsi"/>
        </w:rPr>
        <w:t>muy</w:t>
      </w:r>
      <w:r w:rsidRPr="00985B97">
        <w:rPr>
          <w:rFonts w:asciiTheme="majorHAnsi" w:hAnsiTheme="majorHAnsi" w:cstheme="majorHAnsi"/>
        </w:rPr>
        <w:t xml:space="preserve"> superior a la disponible en el Congreso colombiano. Estos cuatro elementos, </w:t>
      </w:r>
      <w:r w:rsidR="00412AC1" w:rsidRPr="00985B97">
        <w:rPr>
          <w:rFonts w:asciiTheme="majorHAnsi" w:hAnsiTheme="majorHAnsi" w:cstheme="majorHAnsi"/>
        </w:rPr>
        <w:t>actúan</w:t>
      </w:r>
      <w:r w:rsidRPr="00985B97">
        <w:rPr>
          <w:rFonts w:asciiTheme="majorHAnsi" w:hAnsiTheme="majorHAnsi" w:cstheme="majorHAnsi"/>
        </w:rPr>
        <w:t xml:space="preserve"> conjuntament</w:t>
      </w:r>
      <w:r w:rsidR="00412AC1" w:rsidRPr="00985B97">
        <w:rPr>
          <w:rFonts w:asciiTheme="majorHAnsi" w:hAnsiTheme="majorHAnsi" w:cstheme="majorHAnsi"/>
        </w:rPr>
        <w:t>e</w:t>
      </w:r>
      <w:r w:rsidRPr="00985B97">
        <w:rPr>
          <w:rFonts w:asciiTheme="majorHAnsi" w:hAnsiTheme="majorHAnsi" w:cstheme="majorHAnsi"/>
        </w:rPr>
        <w:t xml:space="preserve"> reduc</w:t>
      </w:r>
      <w:r w:rsidR="00412AC1" w:rsidRPr="00985B97">
        <w:rPr>
          <w:rFonts w:asciiTheme="majorHAnsi" w:hAnsiTheme="majorHAnsi" w:cstheme="majorHAnsi"/>
        </w:rPr>
        <w:t>iendo</w:t>
      </w:r>
      <w:r w:rsidRPr="00985B97">
        <w:rPr>
          <w:rFonts w:asciiTheme="majorHAnsi" w:hAnsiTheme="majorHAnsi" w:cstheme="majorHAnsi"/>
        </w:rPr>
        <w:t xml:space="preserve"> los costos de transacción de la negociación </w:t>
      </w:r>
      <w:r w:rsidR="001D4B0A" w:rsidRPr="00985B97">
        <w:rPr>
          <w:rFonts w:asciiTheme="majorHAnsi" w:hAnsiTheme="majorHAnsi" w:cstheme="majorHAnsi"/>
        </w:rPr>
        <w:t>ejecutivo</w:t>
      </w:r>
      <w:r w:rsidRPr="00985B97">
        <w:rPr>
          <w:rFonts w:asciiTheme="majorHAnsi" w:hAnsiTheme="majorHAnsi" w:cstheme="majorHAnsi"/>
        </w:rPr>
        <w:t>-</w:t>
      </w:r>
      <w:r w:rsidR="001D4B0A" w:rsidRPr="00985B97">
        <w:rPr>
          <w:rFonts w:asciiTheme="majorHAnsi" w:hAnsiTheme="majorHAnsi" w:cstheme="majorHAnsi"/>
        </w:rPr>
        <w:t>legislativo</w:t>
      </w:r>
      <w:r w:rsidRPr="00985B97">
        <w:rPr>
          <w:rFonts w:asciiTheme="majorHAnsi" w:hAnsiTheme="majorHAnsi" w:cstheme="majorHAnsi"/>
        </w:rPr>
        <w:t xml:space="preserve"> (Williamson, 1985) y explican</w:t>
      </w:r>
      <w:r w:rsidR="00412AC1" w:rsidRPr="00985B97">
        <w:rPr>
          <w:rFonts w:asciiTheme="majorHAnsi" w:hAnsiTheme="majorHAnsi" w:cstheme="majorHAnsi"/>
        </w:rPr>
        <w:t xml:space="preserve"> </w:t>
      </w:r>
      <w:r w:rsidRPr="00985B97">
        <w:rPr>
          <w:rFonts w:asciiTheme="majorHAnsi" w:hAnsiTheme="majorHAnsi" w:cstheme="majorHAnsi"/>
        </w:rPr>
        <w:t>por qué Brasil ha logrado traducir su planificación energética estratégica</w:t>
      </w:r>
      <w:r w:rsidR="00412AC1" w:rsidRPr="00985B97">
        <w:rPr>
          <w:rFonts w:asciiTheme="majorHAnsi" w:hAnsiTheme="majorHAnsi" w:cstheme="majorHAnsi"/>
        </w:rPr>
        <w:t xml:space="preserve">, plasmada </w:t>
      </w:r>
      <w:r w:rsidRPr="00985B97">
        <w:rPr>
          <w:rFonts w:asciiTheme="majorHAnsi" w:hAnsiTheme="majorHAnsi" w:cstheme="majorHAnsi"/>
        </w:rPr>
        <w:t xml:space="preserve">en instrumentos como la Política Nacional de </w:t>
      </w:r>
      <w:proofErr w:type="spellStart"/>
      <w:r w:rsidRPr="00985B97">
        <w:rPr>
          <w:rFonts w:asciiTheme="majorHAnsi" w:hAnsiTheme="majorHAnsi" w:cstheme="majorHAnsi"/>
        </w:rPr>
        <w:t>Transição</w:t>
      </w:r>
      <w:proofErr w:type="spellEnd"/>
      <w:r w:rsidRPr="00985B97">
        <w:rPr>
          <w:rFonts w:asciiTheme="majorHAnsi" w:hAnsiTheme="majorHAnsi" w:cstheme="majorHAnsi"/>
        </w:rPr>
        <w:t xml:space="preserve"> Energética, articulada por el CNPE y el FONTE</w:t>
      </w:r>
      <w:r w:rsidR="00412AC1" w:rsidRPr="00985B97">
        <w:rPr>
          <w:rFonts w:asciiTheme="majorHAnsi" w:hAnsiTheme="majorHAnsi" w:cstheme="majorHAnsi"/>
        </w:rPr>
        <w:t>,</w:t>
      </w:r>
      <w:r w:rsidRPr="00985B97">
        <w:rPr>
          <w:rFonts w:asciiTheme="majorHAnsi" w:hAnsiTheme="majorHAnsi" w:cstheme="majorHAnsi"/>
        </w:rPr>
        <w:t xml:space="preserve"> en producción legislativa efectiva. </w:t>
      </w:r>
      <w:bookmarkEnd w:id="177"/>
    </w:p>
    <w:p w14:paraId="74190DB1" w14:textId="77777777" w:rsidR="00FF7AC3" w:rsidRPr="00985B97" w:rsidRDefault="004724DF" w:rsidP="00985B97">
      <w:pPr>
        <w:pStyle w:val="Ttulo3"/>
        <w:rPr>
          <w:rFonts w:asciiTheme="majorHAnsi" w:hAnsiTheme="majorHAnsi" w:cstheme="majorHAnsi"/>
          <w:sz w:val="22"/>
          <w:szCs w:val="22"/>
        </w:rPr>
      </w:pPr>
      <w:bookmarkStart w:id="183" w:name="_Toc235092573"/>
      <w:bookmarkStart w:id="184" w:name="_Toc235108017"/>
      <w:r w:rsidRPr="00985B97">
        <w:rPr>
          <w:rFonts w:asciiTheme="majorHAnsi" w:hAnsiTheme="majorHAnsi" w:cstheme="majorHAnsi"/>
          <w:sz w:val="22"/>
          <w:szCs w:val="22"/>
        </w:rPr>
        <w:t>2</w:t>
      </w:r>
      <w:r w:rsidR="00222BBC" w:rsidRPr="00985B97">
        <w:rPr>
          <w:rFonts w:asciiTheme="majorHAnsi" w:hAnsiTheme="majorHAnsi" w:cstheme="majorHAnsi"/>
          <w:sz w:val="22"/>
          <w:szCs w:val="22"/>
        </w:rPr>
        <w:t>.</w:t>
      </w:r>
      <w:r w:rsidR="00CD0C90" w:rsidRPr="00985B97">
        <w:rPr>
          <w:rFonts w:asciiTheme="majorHAnsi" w:hAnsiTheme="majorHAnsi" w:cstheme="majorHAnsi"/>
          <w:sz w:val="22"/>
          <w:szCs w:val="22"/>
        </w:rPr>
        <w:t>1.</w:t>
      </w:r>
      <w:r w:rsidR="00FF7AC3" w:rsidRPr="00985B97">
        <w:rPr>
          <w:rFonts w:asciiTheme="majorHAnsi" w:hAnsiTheme="majorHAnsi" w:cstheme="majorHAnsi"/>
          <w:sz w:val="22"/>
          <w:szCs w:val="22"/>
        </w:rPr>
        <w:t>2 Chile: Coordinación institucionalizada y transparencia del relacionamiento legislativo</w:t>
      </w:r>
      <w:bookmarkEnd w:id="183"/>
      <w:bookmarkEnd w:id="184"/>
    </w:p>
    <w:p w14:paraId="002F3EFC" w14:textId="77777777" w:rsidR="00622B8B" w:rsidRPr="00985B97" w:rsidRDefault="00622B8B"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Chile es una república presidencial unitaria y, desde 2015, </w:t>
      </w:r>
      <w:r w:rsidR="00B53DF2" w:rsidRPr="00985B97">
        <w:rPr>
          <w:rFonts w:asciiTheme="majorHAnsi" w:hAnsiTheme="majorHAnsi" w:cstheme="majorHAnsi"/>
        </w:rPr>
        <w:t>mayoritariamente</w:t>
      </w:r>
      <w:r w:rsidRPr="00985B97">
        <w:rPr>
          <w:rFonts w:asciiTheme="majorHAnsi" w:hAnsiTheme="majorHAnsi" w:cstheme="majorHAnsi"/>
        </w:rPr>
        <w:t xml:space="preserve"> multipartidista. La Ley N</w:t>
      </w:r>
      <w:r w:rsidR="00B53DF2" w:rsidRPr="00985B97">
        <w:rPr>
          <w:rFonts w:asciiTheme="majorHAnsi" w:hAnsiTheme="majorHAnsi" w:cstheme="majorHAnsi"/>
        </w:rPr>
        <w:t>o.</w:t>
      </w:r>
      <w:r w:rsidRPr="00985B97">
        <w:rPr>
          <w:rFonts w:asciiTheme="majorHAnsi" w:hAnsiTheme="majorHAnsi" w:cstheme="majorHAnsi"/>
        </w:rPr>
        <w:t xml:space="preserve"> 20.840</w:t>
      </w:r>
      <w:r w:rsidR="00B53DF2" w:rsidRPr="00985B97">
        <w:rPr>
          <w:rFonts w:asciiTheme="majorHAnsi" w:hAnsiTheme="majorHAnsi" w:cstheme="majorHAnsi"/>
        </w:rPr>
        <w:t xml:space="preserve"> </w:t>
      </w:r>
      <w:r w:rsidRPr="00985B97">
        <w:rPr>
          <w:rFonts w:asciiTheme="majorHAnsi" w:hAnsiTheme="majorHAnsi" w:cstheme="majorHAnsi"/>
        </w:rPr>
        <w:t xml:space="preserve">de 2015 sustituyó el sistema electoral binominal por un sistema proporcional inclusivo bajo el </w:t>
      </w:r>
      <w:r w:rsidRPr="00985B97">
        <w:rPr>
          <w:rFonts w:asciiTheme="majorHAnsi" w:hAnsiTheme="majorHAnsi" w:cstheme="majorHAnsi"/>
        </w:rPr>
        <w:lastRenderedPageBreak/>
        <w:t xml:space="preserve">método </w:t>
      </w:r>
      <w:proofErr w:type="spellStart"/>
      <w:r w:rsidRPr="00985B97">
        <w:rPr>
          <w:rFonts w:asciiTheme="majorHAnsi" w:hAnsiTheme="majorHAnsi" w:cstheme="majorHAnsi"/>
        </w:rPr>
        <w:t>D'Hondt</w:t>
      </w:r>
      <w:proofErr w:type="spellEnd"/>
      <w:r w:rsidRPr="00985B97">
        <w:rPr>
          <w:rFonts w:asciiTheme="majorHAnsi" w:hAnsiTheme="majorHAnsi" w:cstheme="majorHAnsi"/>
        </w:rPr>
        <w:t xml:space="preserve">, que amplió la Cámara de Diputados de 120 a 155 escaños y el Senado de 38 a 50, </w:t>
      </w:r>
      <w:r w:rsidR="00B53DF2" w:rsidRPr="00985B97">
        <w:rPr>
          <w:rFonts w:asciiTheme="majorHAnsi" w:hAnsiTheme="majorHAnsi" w:cstheme="majorHAnsi"/>
        </w:rPr>
        <w:t>y también</w:t>
      </w:r>
      <w:r w:rsidRPr="00985B97">
        <w:rPr>
          <w:rFonts w:asciiTheme="majorHAnsi" w:hAnsiTheme="majorHAnsi" w:cstheme="majorHAnsi"/>
        </w:rPr>
        <w:t xml:space="preserve"> redujo el número de distritos electorales de 60 a 28. </w:t>
      </w:r>
    </w:p>
    <w:p w14:paraId="2F8FEA71" w14:textId="77777777" w:rsidR="00622B8B" w:rsidRPr="00985B97" w:rsidRDefault="00622B8B"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El Ministerio de Energía se constituyó como</w:t>
      </w:r>
      <w:r w:rsidR="00B53DF2" w:rsidRPr="00985B97">
        <w:rPr>
          <w:rFonts w:asciiTheme="majorHAnsi" w:hAnsiTheme="majorHAnsi" w:cstheme="majorHAnsi"/>
        </w:rPr>
        <w:t xml:space="preserve"> una</w:t>
      </w:r>
      <w:r w:rsidRPr="00985B97">
        <w:rPr>
          <w:rFonts w:asciiTheme="majorHAnsi" w:hAnsiTheme="majorHAnsi" w:cstheme="majorHAnsi"/>
        </w:rPr>
        <w:t xml:space="preserve"> cartera independiente el 1 de febrero de 2010, mediante la Ley N</w:t>
      </w:r>
      <w:r w:rsidR="00B53DF2" w:rsidRPr="00985B97">
        <w:rPr>
          <w:rFonts w:asciiTheme="majorHAnsi" w:hAnsiTheme="majorHAnsi" w:cstheme="majorHAnsi"/>
        </w:rPr>
        <w:t>o.</w:t>
      </w:r>
      <w:r w:rsidRPr="00985B97">
        <w:rPr>
          <w:rFonts w:asciiTheme="majorHAnsi" w:hAnsiTheme="majorHAnsi" w:cstheme="majorHAnsi"/>
        </w:rPr>
        <w:t xml:space="preserve"> 20.402, separándose del Ministerio de Minería</w:t>
      </w:r>
      <w:r w:rsidR="00B53DF2" w:rsidRPr="00985B97">
        <w:rPr>
          <w:rFonts w:asciiTheme="majorHAnsi" w:hAnsiTheme="majorHAnsi" w:cstheme="majorHAnsi"/>
        </w:rPr>
        <w:t xml:space="preserve">, con </w:t>
      </w:r>
      <w:r w:rsidRPr="00985B97">
        <w:rPr>
          <w:rFonts w:asciiTheme="majorHAnsi" w:hAnsiTheme="majorHAnsi" w:cstheme="majorHAnsi"/>
        </w:rPr>
        <w:t xml:space="preserve">atribuciones </w:t>
      </w:r>
      <w:r w:rsidR="00B53DF2" w:rsidRPr="00985B97">
        <w:rPr>
          <w:rFonts w:asciiTheme="majorHAnsi" w:hAnsiTheme="majorHAnsi" w:cstheme="majorHAnsi"/>
        </w:rPr>
        <w:t>en el</w:t>
      </w:r>
      <w:r w:rsidRPr="00985B97">
        <w:rPr>
          <w:rFonts w:asciiTheme="majorHAnsi" w:hAnsiTheme="majorHAnsi" w:cstheme="majorHAnsi"/>
        </w:rPr>
        <w:t xml:space="preserve"> diseño y coordinación de política, planes y normas energéticas </w:t>
      </w:r>
      <w:r w:rsidR="00B53DF2" w:rsidRPr="00985B97">
        <w:rPr>
          <w:rFonts w:asciiTheme="majorHAnsi" w:hAnsiTheme="majorHAnsi" w:cstheme="majorHAnsi"/>
        </w:rPr>
        <w:t>plasmadas</w:t>
      </w:r>
      <w:r w:rsidRPr="00985B97">
        <w:rPr>
          <w:rFonts w:asciiTheme="majorHAnsi" w:hAnsiTheme="majorHAnsi" w:cstheme="majorHAnsi"/>
        </w:rPr>
        <w:t xml:space="preserve"> el Decreto Ley N</w:t>
      </w:r>
      <w:r w:rsidR="00B53DF2" w:rsidRPr="00985B97">
        <w:rPr>
          <w:rFonts w:asciiTheme="majorHAnsi" w:hAnsiTheme="majorHAnsi" w:cstheme="majorHAnsi"/>
        </w:rPr>
        <w:t>o</w:t>
      </w:r>
      <w:r w:rsidRPr="00985B97">
        <w:rPr>
          <w:rFonts w:asciiTheme="majorHAnsi" w:hAnsiTheme="majorHAnsi" w:cstheme="majorHAnsi"/>
        </w:rPr>
        <w:t xml:space="preserve">. 2.224. En el Congreso, </w:t>
      </w:r>
      <w:r w:rsidR="00B53DF2" w:rsidRPr="00985B97">
        <w:rPr>
          <w:rFonts w:asciiTheme="majorHAnsi" w:hAnsiTheme="majorHAnsi" w:cstheme="majorHAnsi"/>
        </w:rPr>
        <w:t xml:space="preserve">el trámite </w:t>
      </w:r>
      <w:r w:rsidRPr="00985B97">
        <w:rPr>
          <w:rFonts w:asciiTheme="majorHAnsi" w:hAnsiTheme="majorHAnsi" w:cstheme="majorHAnsi"/>
        </w:rPr>
        <w:t>de los proyectos energéticos recae en dos comisiones permanentes especializadas: la Comisión de Minería y Energía del Senado, integrada por cinco senadores, y la Comisión de Minería y Energía de la Cámara de Diputados, integrada por trece diputados.</w:t>
      </w:r>
    </w:p>
    <w:p w14:paraId="3F21C0ED" w14:textId="77777777" w:rsidR="00687E40" w:rsidRPr="00985B97" w:rsidRDefault="00687E40"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Chile cuenta con una institución técnica legislativa consolidada denominada la Biblioteca del Congreso Nacional (BCN), un servicio común del Senado y la Cámara de Diputados creado en 1883, cuya oficina de Asesoría Técnica Parlamentaria (ATP), creada en 2007, constituye el equivalente funcional más cercano a la CONLE brasileña, aunque de diseño distinto: mientras la CONLE opera exclusivamente al servicio de la Cámara de Diputados de Brasil, la ATP presta servicio simultáneo a ambas cámaras chilenas. El tamaño de su equipo varía, pero producción anual es considerable: en 2022 generó 1.881 productos de asesoría, el 89,7% de ellos por demanda directa de parlamentarios, y en 2024 superó los 1.100 servicios anuales, entre análisis escritos, investigaciones y presentaciones ante comisiones (</w:t>
      </w:r>
      <w:bookmarkStart w:id="185" w:name="_Hlk234689294"/>
      <w:r w:rsidRPr="00985B97">
        <w:rPr>
          <w:rFonts w:asciiTheme="majorHAnsi" w:hAnsiTheme="majorHAnsi" w:cstheme="majorHAnsi"/>
        </w:rPr>
        <w:t>BCN, 2024</w:t>
      </w:r>
      <w:bookmarkEnd w:id="185"/>
      <w:r w:rsidRPr="00985B97">
        <w:rPr>
          <w:rFonts w:asciiTheme="majorHAnsi" w:hAnsiTheme="majorHAnsi" w:cstheme="majorHAnsi"/>
        </w:rPr>
        <w:t>). Esta capacidad instalada dota a los parlamentarios chilenos de un insumo técnico propio, independiente de la información suministrada por el ejecutivo, condición que el Congreso colombiano no posee en materia energética.</w:t>
      </w:r>
    </w:p>
    <w:p w14:paraId="0CF31E17" w14:textId="77777777" w:rsidR="00687E40" w:rsidRPr="00985B97" w:rsidRDefault="00B53DF2"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A nivel </w:t>
      </w:r>
      <w:r w:rsidR="00622B8B" w:rsidRPr="00985B97">
        <w:rPr>
          <w:rFonts w:asciiTheme="majorHAnsi" w:hAnsiTheme="majorHAnsi" w:cstheme="majorHAnsi"/>
        </w:rPr>
        <w:t>normativ</w:t>
      </w:r>
      <w:r w:rsidRPr="00985B97">
        <w:rPr>
          <w:rFonts w:asciiTheme="majorHAnsi" w:hAnsiTheme="majorHAnsi" w:cstheme="majorHAnsi"/>
        </w:rPr>
        <w:t>o</w:t>
      </w:r>
      <w:r w:rsidR="00622B8B" w:rsidRPr="00985B97">
        <w:rPr>
          <w:rFonts w:asciiTheme="majorHAnsi" w:hAnsiTheme="majorHAnsi" w:cstheme="majorHAnsi"/>
        </w:rPr>
        <w:t xml:space="preserve">, </w:t>
      </w:r>
      <w:r w:rsidR="00687E40" w:rsidRPr="00985B97">
        <w:rPr>
          <w:rFonts w:asciiTheme="majorHAnsi" w:hAnsiTheme="majorHAnsi" w:cstheme="majorHAnsi"/>
        </w:rPr>
        <w:t>Chile ha construido entre 2021 y 2025 un cuerpo legislativo sistemático y coherente en materia de transición energética: la Ley 21.305 de Eficiencia Energética (2021), la Ley 21.455 de Marco de Cambio Climático (2022), la Ley 21.505 de almacenamiento y electromovilidad (2022), la Ley 21.472 de tarifas eléctricas, la Ley 21.667 de protección tarifaria (2024) y la Ley 21.118 de generación distribuida.  Este conjunto de normatividad incluye desde la eficiencia energética hasta la descarbonización, pasando por el almacenamiento, la generación distribuida y la protección de los hogares vulnerables frente al incremento de las tarifas, cuatro pilares que forman un sistema coherente de política energética de transición.</w:t>
      </w:r>
    </w:p>
    <w:p w14:paraId="65D61199" w14:textId="77777777" w:rsidR="00687E40" w:rsidRPr="00985B97" w:rsidRDefault="00687E40"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lastRenderedPageBreak/>
        <w:t>El Plan de Descarbonización (octubre 2025), que contempla el retiro de las 28 centrales de carbón, 9 de las cuales ya fueron cerradas entre 2019 y 2023, y la Política Energética Nacional 2050 "Energía 2050", con 18 objetivos de largo plazo (80% energía renovable para 2030; 100% generación cero emisiones para 2050; carbono neutralidad en 2050), proporcionan un marco de largo plazo que integra y orienta toda la producción legislativa sectorial. El Plan Sectorial de Mitigación y Adaptación al Cambio Climático de Energía (DS 91/2024) es otra expresión de ese anclaje sistemático de la política energética en instrumentos normativos formales.</w:t>
      </w:r>
    </w:p>
    <w:p w14:paraId="606E1217" w14:textId="77777777" w:rsidR="00687E40" w:rsidRPr="00985B97" w:rsidRDefault="00687E40"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Colombia, en el mismo período, ha presentado una producción legislativa energética incipiente y fragmentada. La Ley 2273/2022 de ratificación del Acuerdo de Escazú y el avance del Proyecto de Ley de Hidrógeno hasta el segundo debate en Cámara plenaria (ANDI, junio 2025) son logros reales, que demuestran que es posible construir acuerdos legislativos en materia energética. Sin embargo, el proyecto central de la agenda de transición energética justa del gobierno Petro, es decir, el PL 134-2024 del Senado, permanece en trámite en la Comisión Quinta, sin lograr una consolidación legislativa que requiere la aceleración de la TEJ. El Diagnóstico Base del MME (2024), con sus cuatro pilares de equidad, soberanía, justicia territorial y reindustrialización, presenta un marco analítico robusto, pero sin el anclaje legislativo que le conferiría continuidad </w:t>
      </w:r>
      <w:proofErr w:type="spellStart"/>
      <w:r w:rsidRPr="00985B97">
        <w:rPr>
          <w:rFonts w:asciiTheme="majorHAnsi" w:hAnsiTheme="majorHAnsi" w:cstheme="majorHAnsi"/>
        </w:rPr>
        <w:t>inter-gubernamental</w:t>
      </w:r>
      <w:proofErr w:type="spellEnd"/>
      <w:r w:rsidRPr="00985B97">
        <w:rPr>
          <w:rFonts w:asciiTheme="majorHAnsi" w:hAnsiTheme="majorHAnsi" w:cstheme="majorHAnsi"/>
        </w:rPr>
        <w:t>.</w:t>
      </w:r>
    </w:p>
    <w:p w14:paraId="79B8F1B1" w14:textId="77777777" w:rsidR="00687E40" w:rsidRPr="00985B97" w:rsidRDefault="00687E40"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La diferencia no es solo de voluntad política ni de capacidad técnica del sector energético en sí mismo: es de arquitectura institucional de coordinación legislativa. Chile tiene en la SEGPRES-DIREPOL y la BCN-ATP los instrumentos que permiten sostener la negociación legislativa incluso en condiciones de Congreso fragmentado, como lo demuestran las leyes aprobadas durante el gobierno de </w:t>
      </w:r>
      <w:proofErr w:type="spellStart"/>
      <w:r w:rsidRPr="00985B97">
        <w:rPr>
          <w:rFonts w:asciiTheme="majorHAnsi" w:hAnsiTheme="majorHAnsi" w:cstheme="majorHAnsi"/>
        </w:rPr>
        <w:t>Boric</w:t>
      </w:r>
      <w:proofErr w:type="spellEnd"/>
      <w:r w:rsidRPr="00985B97">
        <w:rPr>
          <w:rFonts w:asciiTheme="majorHAnsi" w:hAnsiTheme="majorHAnsi" w:cstheme="majorHAnsi"/>
        </w:rPr>
        <w:t xml:space="preserve"> sin mayoría parlamentaria. Colombia enfrenta condiciones políticas igualmente difíciles, como un Congreso fragmentado, una coalición débil, y alta rotación ministerial, pero sin los instrumentos institucionales que permiten navegar esa dificultad con efectividad legislativa sostenida.</w:t>
      </w:r>
    </w:p>
    <w:p w14:paraId="471CFE60" w14:textId="77777777" w:rsidR="00687E40" w:rsidRPr="00985B97" w:rsidRDefault="00622B8B"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La dinámica de aprobación legislativa en Chile </w:t>
      </w:r>
      <w:r w:rsidR="00687E40" w:rsidRPr="00985B97">
        <w:rPr>
          <w:rFonts w:asciiTheme="majorHAnsi" w:hAnsiTheme="majorHAnsi" w:cstheme="majorHAnsi"/>
        </w:rPr>
        <w:t>reafirma</w:t>
      </w:r>
      <w:r w:rsidRPr="00985B97">
        <w:rPr>
          <w:rFonts w:asciiTheme="majorHAnsi" w:hAnsiTheme="majorHAnsi" w:cstheme="majorHAnsi"/>
        </w:rPr>
        <w:t xml:space="preserve"> el papel dominante del </w:t>
      </w:r>
      <w:r w:rsidR="001D4B0A" w:rsidRPr="00985B97">
        <w:rPr>
          <w:rFonts w:asciiTheme="majorHAnsi" w:hAnsiTheme="majorHAnsi" w:cstheme="majorHAnsi"/>
        </w:rPr>
        <w:t>ejecutivo</w:t>
      </w:r>
      <w:r w:rsidRPr="00985B97">
        <w:rPr>
          <w:rFonts w:asciiTheme="majorHAnsi" w:hAnsiTheme="majorHAnsi" w:cstheme="majorHAnsi"/>
        </w:rPr>
        <w:t xml:space="preserve"> en la fijación de la agenda, aunque con variaciones significativas por gobierno: las tasas de éxito legislativo presidencial oscilaron entre 46,3% y 68,7% durante los gobiernos de Piñera, entre 58,8% y 80,8% durante el segundo gobierno de Bachelet, y entre 48,4% y 48,5% durante la administración de Gabriel </w:t>
      </w:r>
      <w:proofErr w:type="spellStart"/>
      <w:r w:rsidRPr="00985B97">
        <w:rPr>
          <w:rFonts w:asciiTheme="majorHAnsi" w:hAnsiTheme="majorHAnsi" w:cstheme="majorHAnsi"/>
        </w:rPr>
        <w:t>Boric</w:t>
      </w:r>
      <w:proofErr w:type="spellEnd"/>
      <w:r w:rsidRPr="00985B97">
        <w:rPr>
          <w:rFonts w:asciiTheme="majorHAnsi" w:hAnsiTheme="majorHAnsi" w:cstheme="majorHAnsi"/>
        </w:rPr>
        <w:t xml:space="preserve"> </w:t>
      </w:r>
      <w:r w:rsidR="00687E40" w:rsidRPr="00985B97">
        <w:rPr>
          <w:rFonts w:asciiTheme="majorHAnsi" w:hAnsiTheme="majorHAnsi" w:cstheme="majorHAnsi"/>
        </w:rPr>
        <w:t>hasta</w:t>
      </w:r>
      <w:r w:rsidRPr="00985B97">
        <w:rPr>
          <w:rFonts w:asciiTheme="majorHAnsi" w:hAnsiTheme="majorHAnsi" w:cstheme="majorHAnsi"/>
        </w:rPr>
        <w:t xml:space="preserve"> </w:t>
      </w:r>
      <w:r w:rsidR="00687E40" w:rsidRPr="00985B97">
        <w:rPr>
          <w:rFonts w:asciiTheme="majorHAnsi" w:hAnsiTheme="majorHAnsi" w:cstheme="majorHAnsi"/>
        </w:rPr>
        <w:t>el</w:t>
      </w:r>
      <w:r w:rsidRPr="00985B97">
        <w:rPr>
          <w:rFonts w:asciiTheme="majorHAnsi" w:hAnsiTheme="majorHAnsi" w:cstheme="majorHAnsi"/>
        </w:rPr>
        <w:t xml:space="preserve"> 2025 (</w:t>
      </w:r>
      <w:bookmarkStart w:id="186" w:name="_Hlk234689441"/>
      <w:r w:rsidRPr="00985B97">
        <w:rPr>
          <w:rFonts w:asciiTheme="majorHAnsi" w:hAnsiTheme="majorHAnsi" w:cstheme="majorHAnsi"/>
        </w:rPr>
        <w:t>Nexos,</w:t>
      </w:r>
      <w:bookmarkEnd w:id="186"/>
      <w:r w:rsidR="00687E40" w:rsidRPr="00985B97">
        <w:rPr>
          <w:rFonts w:asciiTheme="majorHAnsi" w:hAnsiTheme="majorHAnsi" w:cstheme="majorHAnsi"/>
        </w:rPr>
        <w:t xml:space="preserve"> 2025</w:t>
      </w:r>
      <w:r w:rsidRPr="00985B97">
        <w:rPr>
          <w:rFonts w:asciiTheme="majorHAnsi" w:hAnsiTheme="majorHAnsi" w:cstheme="majorHAnsi"/>
        </w:rPr>
        <w:t xml:space="preserve">). Los tiempos de tramitación también varían de manera notable: 194 días en promedio bajo </w:t>
      </w:r>
      <w:proofErr w:type="spellStart"/>
      <w:r w:rsidRPr="00985B97">
        <w:rPr>
          <w:rFonts w:asciiTheme="majorHAnsi" w:hAnsiTheme="majorHAnsi" w:cstheme="majorHAnsi"/>
        </w:rPr>
        <w:lastRenderedPageBreak/>
        <w:t>Boric</w:t>
      </w:r>
      <w:proofErr w:type="spellEnd"/>
      <w:r w:rsidRPr="00985B97">
        <w:rPr>
          <w:rFonts w:asciiTheme="majorHAnsi" w:hAnsiTheme="majorHAnsi" w:cstheme="majorHAnsi"/>
        </w:rPr>
        <w:t>, frente a 427 días durante el segundo gobierno de Piñera (</w:t>
      </w:r>
      <w:bookmarkStart w:id="187" w:name="_Hlk234689464"/>
      <w:r w:rsidRPr="00985B97">
        <w:rPr>
          <w:rFonts w:asciiTheme="majorHAnsi" w:hAnsiTheme="majorHAnsi" w:cstheme="majorHAnsi"/>
        </w:rPr>
        <w:t xml:space="preserve">El Dínamo, </w:t>
      </w:r>
      <w:bookmarkEnd w:id="187"/>
      <w:r w:rsidR="00687E40" w:rsidRPr="00985B97">
        <w:rPr>
          <w:rFonts w:asciiTheme="majorHAnsi" w:hAnsiTheme="majorHAnsi" w:cstheme="majorHAnsi"/>
        </w:rPr>
        <w:t>2025</w:t>
      </w:r>
      <w:r w:rsidRPr="00985B97">
        <w:rPr>
          <w:rFonts w:asciiTheme="majorHAnsi" w:hAnsiTheme="majorHAnsi" w:cstheme="majorHAnsi"/>
        </w:rPr>
        <w:t>). De un universo de más de 13.400 proyectos ingresados entre 2006 y 2025, solo 7,1% de las mociones parlamentarias en la Cámara y 10% en el Senado llegaron a convertirse en ley, mientras que las iniciativas de origen ejecutivo no solo registran mayor probabilidad de aprobación, sino tiempos de tramitación sensiblemente más cortos: las mociones parlamentarias demoran, en promedio, el doble (</w:t>
      </w:r>
      <w:bookmarkStart w:id="188" w:name="_Hlk234689486"/>
      <w:proofErr w:type="gramStart"/>
      <w:r w:rsidRPr="00985B97">
        <w:rPr>
          <w:rFonts w:asciiTheme="majorHAnsi" w:hAnsiTheme="majorHAnsi" w:cstheme="majorHAnsi"/>
        </w:rPr>
        <w:t>Alemán</w:t>
      </w:r>
      <w:proofErr w:type="gramEnd"/>
      <w:r w:rsidRPr="00985B97">
        <w:rPr>
          <w:rFonts w:asciiTheme="majorHAnsi" w:hAnsiTheme="majorHAnsi" w:cstheme="majorHAnsi"/>
        </w:rPr>
        <w:t xml:space="preserve"> &amp; Navia, 2009</w:t>
      </w:r>
      <w:bookmarkEnd w:id="188"/>
      <w:r w:rsidRPr="00985B97">
        <w:rPr>
          <w:rFonts w:asciiTheme="majorHAnsi" w:hAnsiTheme="majorHAnsi" w:cstheme="majorHAnsi"/>
        </w:rPr>
        <w:t>).</w:t>
      </w:r>
    </w:p>
    <w:p w14:paraId="3E577215" w14:textId="77777777" w:rsidR="00622B8B" w:rsidRPr="00985B97" w:rsidRDefault="00622B8B"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En materia de veto presidencial, </w:t>
      </w:r>
      <w:bookmarkStart w:id="189" w:name="_Hlk234689503"/>
      <w:r w:rsidRPr="00985B97">
        <w:rPr>
          <w:rFonts w:asciiTheme="majorHAnsi" w:hAnsiTheme="majorHAnsi" w:cstheme="majorHAnsi"/>
        </w:rPr>
        <w:t>Belmar Soto, Navia y Osorio (2023</w:t>
      </w:r>
      <w:bookmarkEnd w:id="189"/>
      <w:r w:rsidRPr="00985B97">
        <w:rPr>
          <w:rFonts w:asciiTheme="majorHAnsi" w:hAnsiTheme="majorHAnsi" w:cstheme="majorHAnsi"/>
        </w:rPr>
        <w:t>) identificaron 97 vetos parciales</w:t>
      </w:r>
      <w:r w:rsidR="005C3570" w:rsidRPr="00985B97">
        <w:rPr>
          <w:rFonts w:asciiTheme="majorHAnsi" w:hAnsiTheme="majorHAnsi" w:cstheme="majorHAnsi"/>
        </w:rPr>
        <w:t xml:space="preserve">, equivalente al </w:t>
      </w:r>
      <w:r w:rsidRPr="00985B97">
        <w:rPr>
          <w:rFonts w:asciiTheme="majorHAnsi" w:hAnsiTheme="majorHAnsi" w:cstheme="majorHAnsi"/>
        </w:rPr>
        <w:t>4,2% del total de leyes</w:t>
      </w:r>
      <w:r w:rsidR="005C3570" w:rsidRPr="00985B97">
        <w:rPr>
          <w:rFonts w:asciiTheme="majorHAnsi" w:hAnsiTheme="majorHAnsi" w:cstheme="majorHAnsi"/>
        </w:rPr>
        <w:t>,</w:t>
      </w:r>
      <w:r w:rsidRPr="00985B97">
        <w:rPr>
          <w:rFonts w:asciiTheme="majorHAnsi" w:hAnsiTheme="majorHAnsi" w:cstheme="majorHAnsi"/>
        </w:rPr>
        <w:t xml:space="preserve"> y un único veto total entre 1990 y 2018, </w:t>
      </w:r>
      <w:r w:rsidR="005C3570" w:rsidRPr="00985B97">
        <w:rPr>
          <w:rFonts w:asciiTheme="majorHAnsi" w:hAnsiTheme="majorHAnsi" w:cstheme="majorHAnsi"/>
        </w:rPr>
        <w:t xml:space="preserve">lo </w:t>
      </w:r>
      <w:proofErr w:type="gramStart"/>
      <w:r w:rsidR="005C3570" w:rsidRPr="00985B97">
        <w:rPr>
          <w:rFonts w:asciiTheme="majorHAnsi" w:hAnsiTheme="majorHAnsi" w:cstheme="majorHAnsi"/>
        </w:rPr>
        <w:t>que  muestra</w:t>
      </w:r>
      <w:proofErr w:type="gramEnd"/>
      <w:r w:rsidR="005C3570" w:rsidRPr="00985B97">
        <w:rPr>
          <w:rFonts w:asciiTheme="majorHAnsi" w:hAnsiTheme="majorHAnsi" w:cstheme="majorHAnsi"/>
        </w:rPr>
        <w:t xml:space="preserve"> que</w:t>
      </w:r>
      <w:r w:rsidRPr="00985B97">
        <w:rPr>
          <w:rFonts w:asciiTheme="majorHAnsi" w:hAnsiTheme="majorHAnsi" w:cstheme="majorHAnsi"/>
        </w:rPr>
        <w:t xml:space="preserve"> el veto parcial funciona como un paso adicional de negociación entre poderes y no como manifestación de hiperpresidencialismo. En el ámbito energético, la Ley 21.505 se tramitó en menos de un año, mientras que la Ley 21.455 demandó más de dos años, diferencia que refleja distintos grados de consenso político previo y de complejidad técnica del articulado, más que una regla general de velocidad.</w:t>
      </w:r>
    </w:p>
    <w:p w14:paraId="3BC054DD" w14:textId="77777777" w:rsidR="00622B8B" w:rsidRPr="00985B97" w:rsidRDefault="00622B8B"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En los indicadores comparados de transición energética, el Energy </w:t>
      </w:r>
      <w:proofErr w:type="spellStart"/>
      <w:r w:rsidRPr="00985B97">
        <w:rPr>
          <w:rFonts w:asciiTheme="majorHAnsi" w:hAnsiTheme="majorHAnsi" w:cstheme="majorHAnsi"/>
        </w:rPr>
        <w:t>Transition</w:t>
      </w:r>
      <w:proofErr w:type="spellEnd"/>
      <w:r w:rsidRPr="00985B97">
        <w:rPr>
          <w:rFonts w:asciiTheme="majorHAnsi" w:hAnsiTheme="majorHAnsi" w:cstheme="majorHAnsi"/>
        </w:rPr>
        <w:t xml:space="preserve"> </w:t>
      </w:r>
      <w:proofErr w:type="spellStart"/>
      <w:r w:rsidRPr="00985B97">
        <w:rPr>
          <w:rFonts w:asciiTheme="majorHAnsi" w:hAnsiTheme="majorHAnsi" w:cstheme="majorHAnsi"/>
        </w:rPr>
        <w:t>Index</w:t>
      </w:r>
      <w:proofErr w:type="spellEnd"/>
      <w:r w:rsidRPr="00985B97">
        <w:rPr>
          <w:rFonts w:asciiTheme="majorHAnsi" w:hAnsiTheme="majorHAnsi" w:cstheme="majorHAnsi"/>
        </w:rPr>
        <w:t xml:space="preserve"> del Foro Económico Mundial ubicó a Chile en el puesto 21 de 118 países en su edición de 2025, con un puntaje de 65,7 (</w:t>
      </w:r>
      <w:proofErr w:type="spellStart"/>
      <w:r w:rsidRPr="00985B97">
        <w:rPr>
          <w:rFonts w:asciiTheme="majorHAnsi" w:hAnsiTheme="majorHAnsi" w:cstheme="majorHAnsi"/>
        </w:rPr>
        <w:t>World</w:t>
      </w:r>
      <w:proofErr w:type="spellEnd"/>
      <w:r w:rsidRPr="00985B97">
        <w:rPr>
          <w:rFonts w:asciiTheme="majorHAnsi" w:hAnsiTheme="majorHAnsi" w:cstheme="majorHAnsi"/>
        </w:rPr>
        <w:t xml:space="preserve"> </w:t>
      </w:r>
      <w:proofErr w:type="spellStart"/>
      <w:r w:rsidRPr="00985B97">
        <w:rPr>
          <w:rFonts w:asciiTheme="majorHAnsi" w:hAnsiTheme="majorHAnsi" w:cstheme="majorHAnsi"/>
        </w:rPr>
        <w:t>Economic</w:t>
      </w:r>
      <w:proofErr w:type="spellEnd"/>
      <w:r w:rsidRPr="00985B97">
        <w:rPr>
          <w:rFonts w:asciiTheme="majorHAnsi" w:hAnsiTheme="majorHAnsi" w:cstheme="majorHAnsi"/>
        </w:rPr>
        <w:t xml:space="preserve"> </w:t>
      </w:r>
      <w:proofErr w:type="spellStart"/>
      <w:r w:rsidRPr="00985B97">
        <w:rPr>
          <w:rFonts w:asciiTheme="majorHAnsi" w:hAnsiTheme="majorHAnsi" w:cstheme="majorHAnsi"/>
        </w:rPr>
        <w:t>Forum</w:t>
      </w:r>
      <w:proofErr w:type="spellEnd"/>
      <w:r w:rsidRPr="00985B97">
        <w:rPr>
          <w:rFonts w:asciiTheme="majorHAnsi" w:hAnsiTheme="majorHAnsi" w:cstheme="majorHAnsi"/>
        </w:rPr>
        <w:t>,</w:t>
      </w:r>
      <w:r w:rsidR="005C3570" w:rsidRPr="00985B97">
        <w:rPr>
          <w:rFonts w:asciiTheme="majorHAnsi" w:hAnsiTheme="majorHAnsi" w:cstheme="majorHAnsi"/>
        </w:rPr>
        <w:t xml:space="preserve"> 2025</w:t>
      </w:r>
      <w:r w:rsidRPr="00985B97">
        <w:rPr>
          <w:rFonts w:asciiTheme="majorHAnsi" w:hAnsiTheme="majorHAnsi" w:cstheme="majorHAnsi"/>
        </w:rPr>
        <w:t xml:space="preserve">), y en 2024 el Foro destacó a Chile entre los veinte países mejor posicionados del mundo, señalando que el 35% de su generación provenía de fuentes solares y eólicas, con una meta declarada de 70% de participación renovable y neutralidad de carbono al 2050. </w:t>
      </w:r>
    </w:p>
    <w:p w14:paraId="5C8475D4" w14:textId="77777777" w:rsidR="005C3570" w:rsidRPr="00985B97" w:rsidRDefault="00622B8B"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Desde el punto de vista teórico, </w:t>
      </w:r>
      <w:bookmarkStart w:id="190" w:name="_Hlk234689655"/>
      <w:r w:rsidRPr="00985B97">
        <w:rPr>
          <w:rFonts w:asciiTheme="majorHAnsi" w:hAnsiTheme="majorHAnsi" w:cstheme="majorHAnsi"/>
        </w:rPr>
        <w:t xml:space="preserve">Aninat, </w:t>
      </w:r>
      <w:proofErr w:type="spellStart"/>
      <w:r w:rsidRPr="00985B97">
        <w:rPr>
          <w:rFonts w:asciiTheme="majorHAnsi" w:hAnsiTheme="majorHAnsi" w:cstheme="majorHAnsi"/>
        </w:rPr>
        <w:t>Londregan</w:t>
      </w:r>
      <w:proofErr w:type="spellEnd"/>
      <w:r w:rsidRPr="00985B97">
        <w:rPr>
          <w:rFonts w:asciiTheme="majorHAnsi" w:hAnsiTheme="majorHAnsi" w:cstheme="majorHAnsi"/>
        </w:rPr>
        <w:t xml:space="preserve">, Navia y Vial (2006) </w:t>
      </w:r>
      <w:bookmarkEnd w:id="190"/>
      <w:r w:rsidR="005C3570" w:rsidRPr="00985B97">
        <w:rPr>
          <w:rFonts w:asciiTheme="majorHAnsi" w:hAnsiTheme="majorHAnsi" w:cstheme="majorHAnsi"/>
        </w:rPr>
        <w:t>señalan que</w:t>
      </w:r>
      <w:r w:rsidRPr="00985B97">
        <w:rPr>
          <w:rFonts w:asciiTheme="majorHAnsi" w:hAnsiTheme="majorHAnsi" w:cstheme="majorHAnsi"/>
        </w:rPr>
        <w:t xml:space="preserve"> el proceso de formulación de políticas en Chile </w:t>
      </w:r>
      <w:r w:rsidR="005C3570" w:rsidRPr="00985B97">
        <w:rPr>
          <w:rFonts w:asciiTheme="majorHAnsi" w:hAnsiTheme="majorHAnsi" w:cstheme="majorHAnsi"/>
        </w:rPr>
        <w:t>se basa en</w:t>
      </w:r>
      <w:r w:rsidRPr="00985B97">
        <w:rPr>
          <w:rFonts w:asciiTheme="majorHAnsi" w:hAnsiTheme="majorHAnsi" w:cstheme="majorHAnsi"/>
        </w:rPr>
        <w:t xml:space="preserve"> un </w:t>
      </w:r>
      <w:r w:rsidR="001D4B0A" w:rsidRPr="00985B97">
        <w:rPr>
          <w:rFonts w:asciiTheme="majorHAnsi" w:hAnsiTheme="majorHAnsi" w:cstheme="majorHAnsi"/>
        </w:rPr>
        <w:t>ejecutivo</w:t>
      </w:r>
      <w:r w:rsidRPr="00985B97">
        <w:rPr>
          <w:rFonts w:asciiTheme="majorHAnsi" w:hAnsiTheme="majorHAnsi" w:cstheme="majorHAnsi"/>
        </w:rPr>
        <w:t xml:space="preserve"> con control de facto de la agenda que coexiste con "puntos de veto" que permiten a actores afectados</w:t>
      </w:r>
      <w:r w:rsidR="005C3570" w:rsidRPr="00985B97">
        <w:rPr>
          <w:rFonts w:asciiTheme="majorHAnsi" w:hAnsiTheme="majorHAnsi" w:cstheme="majorHAnsi"/>
        </w:rPr>
        <w:t xml:space="preserve">, como </w:t>
      </w:r>
      <w:r w:rsidRPr="00985B97">
        <w:rPr>
          <w:rFonts w:asciiTheme="majorHAnsi" w:hAnsiTheme="majorHAnsi" w:cstheme="majorHAnsi"/>
        </w:rPr>
        <w:t>gremios eléctricos, sindicatos del carbón</w:t>
      </w:r>
      <w:r w:rsidR="005C3570" w:rsidRPr="00985B97">
        <w:rPr>
          <w:rFonts w:asciiTheme="majorHAnsi" w:hAnsiTheme="majorHAnsi" w:cstheme="majorHAnsi"/>
        </w:rPr>
        <w:t xml:space="preserve"> y a</w:t>
      </w:r>
      <w:r w:rsidRPr="00985B97">
        <w:rPr>
          <w:rFonts w:asciiTheme="majorHAnsi" w:hAnsiTheme="majorHAnsi" w:cstheme="majorHAnsi"/>
        </w:rPr>
        <w:t>ctores regionales</w:t>
      </w:r>
      <w:r w:rsidR="005C3570" w:rsidRPr="00985B97">
        <w:rPr>
          <w:rFonts w:asciiTheme="majorHAnsi" w:hAnsiTheme="majorHAnsi" w:cstheme="majorHAnsi"/>
        </w:rPr>
        <w:t>,</w:t>
      </w:r>
      <w:r w:rsidRPr="00985B97">
        <w:rPr>
          <w:rFonts w:asciiTheme="majorHAnsi" w:hAnsiTheme="majorHAnsi" w:cstheme="majorHAnsi"/>
        </w:rPr>
        <w:t xml:space="preserve"> bloquear el cambio normativo</w:t>
      </w:r>
      <w:r w:rsidR="005C3570" w:rsidRPr="00985B97">
        <w:rPr>
          <w:rFonts w:asciiTheme="majorHAnsi" w:hAnsiTheme="majorHAnsi" w:cstheme="majorHAnsi"/>
        </w:rPr>
        <w:t>. Lo anterior hace que</w:t>
      </w:r>
      <w:r w:rsidRPr="00985B97">
        <w:rPr>
          <w:rFonts w:asciiTheme="majorHAnsi" w:hAnsiTheme="majorHAnsi" w:cstheme="majorHAnsi"/>
        </w:rPr>
        <w:t xml:space="preserve"> las políticas prospe</w:t>
      </w:r>
      <w:r w:rsidR="005C3570" w:rsidRPr="00985B97">
        <w:rPr>
          <w:rFonts w:asciiTheme="majorHAnsi" w:hAnsiTheme="majorHAnsi" w:cstheme="majorHAnsi"/>
        </w:rPr>
        <w:t>r</w:t>
      </w:r>
      <w:r w:rsidRPr="00985B97">
        <w:rPr>
          <w:rFonts w:asciiTheme="majorHAnsi" w:hAnsiTheme="majorHAnsi" w:cstheme="majorHAnsi"/>
        </w:rPr>
        <w:t xml:space="preserve">an cuando los intereses del </w:t>
      </w:r>
      <w:r w:rsidR="001D4B0A" w:rsidRPr="00985B97">
        <w:rPr>
          <w:rFonts w:asciiTheme="majorHAnsi" w:hAnsiTheme="majorHAnsi" w:cstheme="majorHAnsi"/>
        </w:rPr>
        <w:t>ejecutivo</w:t>
      </w:r>
      <w:r w:rsidRPr="00985B97">
        <w:rPr>
          <w:rFonts w:asciiTheme="majorHAnsi" w:hAnsiTheme="majorHAnsi" w:cstheme="majorHAnsi"/>
        </w:rPr>
        <w:t xml:space="preserve"> y los veto </w:t>
      </w:r>
      <w:proofErr w:type="spellStart"/>
      <w:r w:rsidRPr="00985B97">
        <w:rPr>
          <w:rFonts w:asciiTheme="majorHAnsi" w:hAnsiTheme="majorHAnsi" w:cstheme="majorHAnsi"/>
        </w:rPr>
        <w:t>players</w:t>
      </w:r>
      <w:proofErr w:type="spellEnd"/>
      <w:r w:rsidRPr="00985B97">
        <w:rPr>
          <w:rFonts w:asciiTheme="majorHAnsi" w:hAnsiTheme="majorHAnsi" w:cstheme="majorHAnsi"/>
        </w:rPr>
        <w:t xml:space="preserve"> convergen, y se estan</w:t>
      </w:r>
      <w:r w:rsidR="005C3570" w:rsidRPr="00985B97">
        <w:rPr>
          <w:rFonts w:asciiTheme="majorHAnsi" w:hAnsiTheme="majorHAnsi" w:cstheme="majorHAnsi"/>
        </w:rPr>
        <w:t>quen</w:t>
      </w:r>
      <w:r w:rsidRPr="00985B97">
        <w:rPr>
          <w:rFonts w:asciiTheme="majorHAnsi" w:hAnsiTheme="majorHAnsi" w:cstheme="majorHAnsi"/>
        </w:rPr>
        <w:t xml:space="preserve"> cuando </w:t>
      </w:r>
      <w:r w:rsidR="005C3570" w:rsidRPr="00985B97">
        <w:rPr>
          <w:rFonts w:asciiTheme="majorHAnsi" w:hAnsiTheme="majorHAnsi" w:cstheme="majorHAnsi"/>
        </w:rPr>
        <w:t>se presentan diferencias</w:t>
      </w:r>
      <w:r w:rsidRPr="00985B97">
        <w:rPr>
          <w:rFonts w:asciiTheme="majorHAnsi" w:hAnsiTheme="majorHAnsi" w:cstheme="majorHAnsi"/>
        </w:rPr>
        <w:t>,</w:t>
      </w:r>
      <w:r w:rsidR="005C3570" w:rsidRPr="00985B97">
        <w:rPr>
          <w:rFonts w:asciiTheme="majorHAnsi" w:hAnsiTheme="majorHAnsi" w:cstheme="majorHAnsi"/>
        </w:rPr>
        <w:t xml:space="preserve"> como también se puede ver en el tema energético </w:t>
      </w:r>
      <w:r w:rsidRPr="00985B97">
        <w:rPr>
          <w:rFonts w:asciiTheme="majorHAnsi" w:hAnsiTheme="majorHAnsi" w:cstheme="majorHAnsi"/>
        </w:rPr>
        <w:t>(</w:t>
      </w:r>
      <w:r w:rsidR="005C3570" w:rsidRPr="00985B97">
        <w:rPr>
          <w:rFonts w:asciiTheme="majorHAnsi" w:hAnsiTheme="majorHAnsi" w:cstheme="majorHAnsi"/>
        </w:rPr>
        <w:t>BID, s. f.</w:t>
      </w:r>
      <w:r w:rsidRPr="00985B97">
        <w:rPr>
          <w:rFonts w:asciiTheme="majorHAnsi" w:hAnsiTheme="majorHAnsi" w:cstheme="majorHAnsi"/>
        </w:rPr>
        <w:t xml:space="preserve">). Así, la </w:t>
      </w:r>
      <w:r w:rsidR="005C3570" w:rsidRPr="00985B97">
        <w:rPr>
          <w:rFonts w:asciiTheme="majorHAnsi" w:hAnsiTheme="majorHAnsi" w:cstheme="majorHAnsi"/>
        </w:rPr>
        <w:t>rapidez</w:t>
      </w:r>
      <w:r w:rsidRPr="00985B97">
        <w:rPr>
          <w:rFonts w:asciiTheme="majorHAnsi" w:hAnsiTheme="majorHAnsi" w:cstheme="majorHAnsi"/>
        </w:rPr>
        <w:t xml:space="preserve"> de la Ley 21.505 frente a la Ley 21.455 </w:t>
      </w:r>
      <w:r w:rsidR="005C3570" w:rsidRPr="00985B97">
        <w:rPr>
          <w:rFonts w:asciiTheme="majorHAnsi" w:hAnsiTheme="majorHAnsi" w:cstheme="majorHAnsi"/>
        </w:rPr>
        <w:t>es fruto de la</w:t>
      </w:r>
      <w:r w:rsidRPr="00985B97">
        <w:rPr>
          <w:rFonts w:asciiTheme="majorHAnsi" w:hAnsiTheme="majorHAnsi" w:cstheme="majorHAnsi"/>
        </w:rPr>
        <w:t xml:space="preserve"> convergencia temprana entre el </w:t>
      </w:r>
      <w:r w:rsidR="001D4B0A" w:rsidRPr="00985B97">
        <w:rPr>
          <w:rFonts w:asciiTheme="majorHAnsi" w:hAnsiTheme="majorHAnsi" w:cstheme="majorHAnsi"/>
        </w:rPr>
        <w:t>ejecutivo</w:t>
      </w:r>
      <w:r w:rsidRPr="00985B97">
        <w:rPr>
          <w:rFonts w:asciiTheme="majorHAnsi" w:hAnsiTheme="majorHAnsi" w:cstheme="majorHAnsi"/>
        </w:rPr>
        <w:t xml:space="preserve"> y los veto </w:t>
      </w:r>
      <w:proofErr w:type="spellStart"/>
      <w:r w:rsidRPr="00985B97">
        <w:rPr>
          <w:rFonts w:asciiTheme="majorHAnsi" w:hAnsiTheme="majorHAnsi" w:cstheme="majorHAnsi"/>
        </w:rPr>
        <w:t>players</w:t>
      </w:r>
      <w:proofErr w:type="spellEnd"/>
      <w:r w:rsidRPr="00985B97">
        <w:rPr>
          <w:rFonts w:asciiTheme="majorHAnsi" w:hAnsiTheme="majorHAnsi" w:cstheme="majorHAnsi"/>
        </w:rPr>
        <w:t xml:space="preserve"> sectoriales, mientras que la Ley Marco de Cambio Climático requirió una convergencia más prolongada dada su densidad regulatoria e impacto.</w:t>
      </w:r>
    </w:p>
    <w:p w14:paraId="60A93429" w14:textId="77777777" w:rsidR="00CD0C90" w:rsidRPr="00985B97" w:rsidRDefault="00CD0C90" w:rsidP="00985B97">
      <w:pPr>
        <w:spacing w:after="0"/>
        <w:jc w:val="both"/>
        <w:rPr>
          <w:rFonts w:asciiTheme="majorHAnsi" w:hAnsiTheme="majorHAnsi" w:cstheme="majorHAnsi"/>
        </w:rPr>
      </w:pPr>
    </w:p>
    <w:p w14:paraId="5642E32F" w14:textId="77777777" w:rsidR="00CD0C90" w:rsidRPr="00985B97" w:rsidRDefault="00200923" w:rsidP="00985B97">
      <w:pPr>
        <w:spacing w:after="0"/>
        <w:jc w:val="both"/>
        <w:rPr>
          <w:rFonts w:asciiTheme="majorHAnsi" w:hAnsiTheme="majorHAnsi" w:cstheme="majorHAnsi"/>
        </w:rPr>
      </w:pPr>
      <w:r w:rsidRPr="00985B97">
        <w:rPr>
          <w:rFonts w:asciiTheme="majorHAnsi" w:hAnsiTheme="majorHAnsi" w:cstheme="majorHAnsi"/>
          <w:b/>
          <w:bCs/>
        </w:rPr>
        <w:t>Tabla 2.</w:t>
      </w:r>
    </w:p>
    <w:p w14:paraId="5F125731" w14:textId="77777777" w:rsidR="00200923" w:rsidRPr="00985B97" w:rsidRDefault="00200923" w:rsidP="00985B97">
      <w:pPr>
        <w:spacing w:after="240"/>
        <w:jc w:val="both"/>
        <w:rPr>
          <w:rFonts w:asciiTheme="majorHAnsi" w:hAnsiTheme="majorHAnsi" w:cstheme="majorHAnsi"/>
        </w:rPr>
      </w:pPr>
      <w:r w:rsidRPr="00985B97">
        <w:rPr>
          <w:rFonts w:asciiTheme="majorHAnsi" w:hAnsiTheme="majorHAnsi" w:cstheme="majorHAnsi"/>
        </w:rPr>
        <w:t xml:space="preserve">Comparación de la dinámica </w:t>
      </w:r>
      <w:r w:rsidR="001D4B0A" w:rsidRPr="00985B97">
        <w:rPr>
          <w:rFonts w:asciiTheme="majorHAnsi" w:hAnsiTheme="majorHAnsi" w:cstheme="majorHAnsi"/>
        </w:rPr>
        <w:t>legislativo</w:t>
      </w:r>
      <w:r w:rsidRPr="00985B97">
        <w:rPr>
          <w:rFonts w:asciiTheme="majorHAnsi" w:hAnsiTheme="majorHAnsi" w:cstheme="majorHAnsi"/>
        </w:rPr>
        <w:t>-</w:t>
      </w:r>
      <w:r w:rsidR="001D4B0A" w:rsidRPr="00985B97">
        <w:rPr>
          <w:rFonts w:asciiTheme="majorHAnsi" w:hAnsiTheme="majorHAnsi" w:cstheme="majorHAnsi"/>
        </w:rPr>
        <w:t>ejecutivo</w:t>
      </w:r>
      <w:r w:rsidRPr="00985B97">
        <w:rPr>
          <w:rFonts w:asciiTheme="majorHAnsi" w:hAnsiTheme="majorHAnsi" w:cstheme="majorHAnsi"/>
        </w:rPr>
        <w:t xml:space="preserve"> en materia energética: Colombia y Chile</w:t>
      </w:r>
    </w:p>
    <w:tbl>
      <w:tblPr>
        <w:tblStyle w:val="Tablaconcuadrcula2-nfasis6"/>
        <w:tblW w:w="9360" w:type="dxa"/>
        <w:tblLook w:val="04A0" w:firstRow="1" w:lastRow="0" w:firstColumn="1" w:lastColumn="0" w:noHBand="0" w:noVBand="1"/>
      </w:tblPr>
      <w:tblGrid>
        <w:gridCol w:w="1698"/>
        <w:gridCol w:w="1846"/>
        <w:gridCol w:w="3186"/>
        <w:gridCol w:w="2630"/>
      </w:tblGrid>
      <w:tr w:rsidR="00313E51" w:rsidRPr="00985B97" w14:paraId="6EBC6D87" w14:textId="77777777" w:rsidTr="00313E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vAlign w:val="center"/>
          </w:tcPr>
          <w:p w14:paraId="5DA7D9D3" w14:textId="77777777" w:rsidR="00200923" w:rsidRPr="00985B97" w:rsidRDefault="00200923" w:rsidP="00985B97">
            <w:pPr>
              <w:jc w:val="center"/>
              <w:rPr>
                <w:rFonts w:asciiTheme="majorHAnsi" w:hAnsiTheme="majorHAnsi" w:cstheme="majorHAnsi"/>
              </w:rPr>
            </w:pPr>
            <w:r w:rsidRPr="00985B97">
              <w:rPr>
                <w:rFonts w:asciiTheme="majorHAnsi" w:hAnsiTheme="majorHAnsi" w:cstheme="majorHAnsi"/>
              </w:rPr>
              <w:lastRenderedPageBreak/>
              <w:t>Dimensión</w:t>
            </w:r>
          </w:p>
        </w:tc>
        <w:tc>
          <w:tcPr>
            <w:tcW w:w="1846" w:type="dxa"/>
            <w:vAlign w:val="center"/>
          </w:tcPr>
          <w:p w14:paraId="0B5C6A7E" w14:textId="77777777" w:rsidR="00200923" w:rsidRPr="00985B97" w:rsidRDefault="00200923" w:rsidP="00985B97">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Colombia</w:t>
            </w:r>
          </w:p>
        </w:tc>
        <w:tc>
          <w:tcPr>
            <w:tcW w:w="3186" w:type="dxa"/>
            <w:vAlign w:val="center"/>
          </w:tcPr>
          <w:p w14:paraId="736E1A65" w14:textId="77777777" w:rsidR="00200923" w:rsidRPr="00985B97" w:rsidRDefault="00200923" w:rsidP="00985B97">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Chile</w:t>
            </w:r>
          </w:p>
        </w:tc>
        <w:tc>
          <w:tcPr>
            <w:tcW w:w="2630" w:type="dxa"/>
            <w:vAlign w:val="center"/>
          </w:tcPr>
          <w:p w14:paraId="61F77E7D" w14:textId="77777777" w:rsidR="00200923" w:rsidRPr="00985B97" w:rsidRDefault="00200923" w:rsidP="00985B97">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Implicación para la TEJ</w:t>
            </w:r>
          </w:p>
        </w:tc>
      </w:tr>
      <w:tr w:rsidR="00313E51" w:rsidRPr="00985B97" w14:paraId="024FD4D6" w14:textId="77777777" w:rsidTr="00313E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vAlign w:val="center"/>
          </w:tcPr>
          <w:p w14:paraId="4DC2D85E" w14:textId="77777777" w:rsidR="00200923" w:rsidRPr="00985B97" w:rsidRDefault="00200923" w:rsidP="00985B97">
            <w:pPr>
              <w:jc w:val="center"/>
              <w:rPr>
                <w:rFonts w:asciiTheme="majorHAnsi" w:hAnsiTheme="majorHAnsi" w:cstheme="majorHAnsi"/>
              </w:rPr>
            </w:pPr>
            <w:r w:rsidRPr="00985B97">
              <w:rPr>
                <w:rFonts w:asciiTheme="majorHAnsi" w:hAnsiTheme="majorHAnsi" w:cstheme="majorHAnsi"/>
              </w:rPr>
              <w:t>Fragmentación partidaria</w:t>
            </w:r>
          </w:p>
        </w:tc>
        <w:tc>
          <w:tcPr>
            <w:tcW w:w="1846" w:type="dxa"/>
            <w:vAlign w:val="center"/>
          </w:tcPr>
          <w:p w14:paraId="46F35F98" w14:textId="77777777" w:rsidR="00200923" w:rsidRPr="00985B97" w:rsidRDefault="00200923"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Alta, sin mecanismo estable de agregación de preferencias</w:t>
            </w:r>
          </w:p>
        </w:tc>
        <w:tc>
          <w:tcPr>
            <w:tcW w:w="3186" w:type="dxa"/>
            <w:vAlign w:val="center"/>
          </w:tcPr>
          <w:p w14:paraId="01A73512" w14:textId="77777777" w:rsidR="00200923" w:rsidRPr="00985B97" w:rsidRDefault="00200923"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Alta y multipartidista, sin bancada de gobierno estable, con tasas de éxito legislativo presidencial de entre 46% y 81% según el gobierno</w:t>
            </w:r>
          </w:p>
        </w:tc>
        <w:tc>
          <w:tcPr>
            <w:tcW w:w="2630" w:type="dxa"/>
            <w:vAlign w:val="center"/>
          </w:tcPr>
          <w:p w14:paraId="06ABA7C5" w14:textId="77777777" w:rsidR="00200923" w:rsidRPr="00985B97" w:rsidRDefault="00200923"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Chile: la fragmentación no impide tasas de aprobación mayoritarias</w:t>
            </w:r>
          </w:p>
        </w:tc>
      </w:tr>
      <w:tr w:rsidR="00200923" w:rsidRPr="00985B97" w14:paraId="0EEC03D0" w14:textId="77777777" w:rsidTr="00313E51">
        <w:tc>
          <w:tcPr>
            <w:cnfStyle w:val="001000000000" w:firstRow="0" w:lastRow="0" w:firstColumn="1" w:lastColumn="0" w:oddVBand="0" w:evenVBand="0" w:oddHBand="0" w:evenHBand="0" w:firstRowFirstColumn="0" w:firstRowLastColumn="0" w:lastRowFirstColumn="0" w:lastRowLastColumn="0"/>
            <w:tcW w:w="1698" w:type="dxa"/>
            <w:vAlign w:val="center"/>
          </w:tcPr>
          <w:p w14:paraId="4BA4D16C" w14:textId="77777777" w:rsidR="00200923" w:rsidRPr="00985B97" w:rsidRDefault="00200923" w:rsidP="00985B97">
            <w:pPr>
              <w:jc w:val="center"/>
              <w:rPr>
                <w:rFonts w:asciiTheme="majorHAnsi" w:hAnsiTheme="majorHAnsi" w:cstheme="majorHAnsi"/>
              </w:rPr>
            </w:pPr>
            <w:proofErr w:type="spellStart"/>
            <w:r w:rsidRPr="00985B97">
              <w:rPr>
                <w:rFonts w:asciiTheme="majorHAnsi" w:hAnsiTheme="majorHAnsi" w:cstheme="majorHAnsi"/>
              </w:rPr>
              <w:t>Gatekeeping</w:t>
            </w:r>
            <w:proofErr w:type="spellEnd"/>
            <w:r w:rsidRPr="00985B97">
              <w:rPr>
                <w:rFonts w:asciiTheme="majorHAnsi" w:hAnsiTheme="majorHAnsi" w:cstheme="majorHAnsi"/>
              </w:rPr>
              <w:t xml:space="preserve"> legislativo</w:t>
            </w:r>
          </w:p>
        </w:tc>
        <w:tc>
          <w:tcPr>
            <w:tcW w:w="1846" w:type="dxa"/>
            <w:vAlign w:val="center"/>
          </w:tcPr>
          <w:p w14:paraId="0D02FCDC" w14:textId="77777777" w:rsidR="00200923" w:rsidRPr="00985B97" w:rsidRDefault="00200923" w:rsidP="00985B97">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Concentrado en Comisión Quinta de Senado y Sexta de Cámara</w:t>
            </w:r>
          </w:p>
        </w:tc>
        <w:tc>
          <w:tcPr>
            <w:tcW w:w="3186" w:type="dxa"/>
            <w:vAlign w:val="center"/>
          </w:tcPr>
          <w:p w14:paraId="46AB43D6" w14:textId="77777777" w:rsidR="00200923" w:rsidRPr="00985B97" w:rsidRDefault="00200923" w:rsidP="00985B97">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Concentrado en la Comisión de Minería y Energía de cada cámara, con tiempos de tramitación que varían de 194 a 427 días según el gobierno</w:t>
            </w:r>
          </w:p>
        </w:tc>
        <w:tc>
          <w:tcPr>
            <w:tcW w:w="2630" w:type="dxa"/>
            <w:vAlign w:val="center"/>
          </w:tcPr>
          <w:p w14:paraId="33564042" w14:textId="77777777" w:rsidR="00200923" w:rsidRPr="00985B97" w:rsidRDefault="00200923" w:rsidP="00985B97">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Chile: mayor previsibilidad institucional, aunque con variabilidad política</w:t>
            </w:r>
          </w:p>
        </w:tc>
      </w:tr>
      <w:tr w:rsidR="00313E51" w:rsidRPr="00985B97" w14:paraId="313E5402" w14:textId="77777777" w:rsidTr="00313E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vAlign w:val="center"/>
          </w:tcPr>
          <w:p w14:paraId="0F5B0241" w14:textId="77777777" w:rsidR="00200923" w:rsidRPr="00985B97" w:rsidRDefault="00200923" w:rsidP="00985B97">
            <w:pPr>
              <w:jc w:val="center"/>
              <w:rPr>
                <w:rFonts w:asciiTheme="majorHAnsi" w:hAnsiTheme="majorHAnsi" w:cstheme="majorHAnsi"/>
              </w:rPr>
            </w:pPr>
            <w:r w:rsidRPr="00985B97">
              <w:rPr>
                <w:rFonts w:asciiTheme="majorHAnsi" w:hAnsiTheme="majorHAnsi" w:cstheme="majorHAnsi"/>
              </w:rPr>
              <w:t>Capacidad técnica legislativa</w:t>
            </w:r>
          </w:p>
        </w:tc>
        <w:tc>
          <w:tcPr>
            <w:tcW w:w="1846" w:type="dxa"/>
            <w:vAlign w:val="center"/>
          </w:tcPr>
          <w:p w14:paraId="31723A3A" w14:textId="77777777" w:rsidR="00200923" w:rsidRPr="00985B97" w:rsidRDefault="00200923"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UTL individuales, no especializadas</w:t>
            </w:r>
          </w:p>
        </w:tc>
        <w:tc>
          <w:tcPr>
            <w:tcW w:w="3186" w:type="dxa"/>
            <w:vAlign w:val="center"/>
          </w:tcPr>
          <w:p w14:paraId="063088E8" w14:textId="77777777" w:rsidR="00200923" w:rsidRPr="00985B97" w:rsidRDefault="00200923"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BCN y su Asesoría Técnica Parlamentaria (ATP): cuerpo técnico permanente y no partidista, con más de 1.100 servicios anuales</w:t>
            </w:r>
          </w:p>
        </w:tc>
        <w:tc>
          <w:tcPr>
            <w:tcW w:w="2630" w:type="dxa"/>
            <w:vAlign w:val="center"/>
          </w:tcPr>
          <w:p w14:paraId="0F00EADA" w14:textId="77777777" w:rsidR="00200923" w:rsidRPr="00985B97" w:rsidRDefault="00200923"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 xml:space="preserve">Chile: menor asimetría de información entre </w:t>
            </w:r>
            <w:r w:rsidR="001D4B0A" w:rsidRPr="00985B97">
              <w:rPr>
                <w:rFonts w:asciiTheme="majorHAnsi" w:hAnsiTheme="majorHAnsi" w:cstheme="majorHAnsi"/>
              </w:rPr>
              <w:t>ejecutivo</w:t>
            </w:r>
            <w:r w:rsidRPr="00985B97">
              <w:rPr>
                <w:rFonts w:asciiTheme="majorHAnsi" w:hAnsiTheme="majorHAnsi" w:cstheme="majorHAnsi"/>
              </w:rPr>
              <w:t xml:space="preserve"> y </w:t>
            </w:r>
            <w:r w:rsidR="001D4B0A" w:rsidRPr="00985B97">
              <w:rPr>
                <w:rFonts w:asciiTheme="majorHAnsi" w:hAnsiTheme="majorHAnsi" w:cstheme="majorHAnsi"/>
              </w:rPr>
              <w:t>legislativo</w:t>
            </w:r>
          </w:p>
        </w:tc>
      </w:tr>
      <w:tr w:rsidR="00200923" w:rsidRPr="00985B97" w14:paraId="587F990D" w14:textId="77777777" w:rsidTr="00313E51">
        <w:tc>
          <w:tcPr>
            <w:cnfStyle w:val="001000000000" w:firstRow="0" w:lastRow="0" w:firstColumn="1" w:lastColumn="0" w:oddVBand="0" w:evenVBand="0" w:oddHBand="0" w:evenHBand="0" w:firstRowFirstColumn="0" w:firstRowLastColumn="0" w:lastRowFirstColumn="0" w:lastRowLastColumn="0"/>
            <w:tcW w:w="1698" w:type="dxa"/>
            <w:vAlign w:val="center"/>
          </w:tcPr>
          <w:p w14:paraId="3F29AE03" w14:textId="77777777" w:rsidR="00200923" w:rsidRPr="00985B97" w:rsidRDefault="00200923" w:rsidP="00985B97">
            <w:pPr>
              <w:jc w:val="center"/>
              <w:rPr>
                <w:rFonts w:asciiTheme="majorHAnsi" w:hAnsiTheme="majorHAnsi" w:cstheme="majorHAnsi"/>
              </w:rPr>
            </w:pPr>
            <w:r w:rsidRPr="00985B97">
              <w:rPr>
                <w:rFonts w:asciiTheme="majorHAnsi" w:hAnsiTheme="majorHAnsi" w:cstheme="majorHAnsi"/>
              </w:rPr>
              <w:t>Mecanismo de negociación de recursos</w:t>
            </w:r>
          </w:p>
        </w:tc>
        <w:tc>
          <w:tcPr>
            <w:tcW w:w="1846" w:type="dxa"/>
            <w:vAlign w:val="center"/>
          </w:tcPr>
          <w:p w14:paraId="3D058866" w14:textId="77777777" w:rsidR="00200923" w:rsidRPr="00985B97" w:rsidRDefault="00200923" w:rsidP="00985B97">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Ad hoc, sujeto a relaciones personales</w:t>
            </w:r>
          </w:p>
        </w:tc>
        <w:tc>
          <w:tcPr>
            <w:tcW w:w="3186" w:type="dxa"/>
            <w:vAlign w:val="center"/>
          </w:tcPr>
          <w:p w14:paraId="184E8CB2" w14:textId="77777777" w:rsidR="00200923" w:rsidRPr="00985B97" w:rsidRDefault="00200923" w:rsidP="00985B97">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No institucionalizado como transferencia presupuestaria; opera mediante convergencia con "puntos de veto" sectoriales (gremios, sindicatos, actores regionales)</w:t>
            </w:r>
          </w:p>
        </w:tc>
        <w:tc>
          <w:tcPr>
            <w:tcW w:w="2630" w:type="dxa"/>
            <w:vAlign w:val="center"/>
          </w:tcPr>
          <w:p w14:paraId="187841C3" w14:textId="77777777" w:rsidR="00200923" w:rsidRPr="00985B97" w:rsidRDefault="00200923" w:rsidP="00985B97">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Chile: negociación programática antes que distributiva</w:t>
            </w:r>
          </w:p>
        </w:tc>
      </w:tr>
      <w:tr w:rsidR="00313E51" w:rsidRPr="00985B97" w14:paraId="3E3C3316" w14:textId="77777777" w:rsidTr="00313E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vAlign w:val="center"/>
          </w:tcPr>
          <w:p w14:paraId="321F5EF1" w14:textId="77777777" w:rsidR="00200923" w:rsidRPr="00985B97" w:rsidRDefault="00200923" w:rsidP="00985B97">
            <w:pPr>
              <w:jc w:val="center"/>
              <w:rPr>
                <w:rFonts w:asciiTheme="majorHAnsi" w:hAnsiTheme="majorHAnsi" w:cstheme="majorHAnsi"/>
              </w:rPr>
            </w:pPr>
            <w:r w:rsidRPr="00985B97">
              <w:rPr>
                <w:rFonts w:asciiTheme="majorHAnsi" w:hAnsiTheme="majorHAnsi" w:cstheme="majorHAnsi"/>
              </w:rPr>
              <w:t>Espacio de construcción de consenso previo</w:t>
            </w:r>
          </w:p>
        </w:tc>
        <w:tc>
          <w:tcPr>
            <w:tcW w:w="1846" w:type="dxa"/>
            <w:vAlign w:val="center"/>
          </w:tcPr>
          <w:p w14:paraId="788A0782" w14:textId="77777777" w:rsidR="00200923" w:rsidRPr="00985B97" w:rsidRDefault="00200923"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Inexistente para energía</w:t>
            </w:r>
          </w:p>
        </w:tc>
        <w:tc>
          <w:tcPr>
            <w:tcW w:w="3186" w:type="dxa"/>
            <w:vAlign w:val="center"/>
          </w:tcPr>
          <w:p w14:paraId="624EFCC3" w14:textId="77777777" w:rsidR="00200923" w:rsidRPr="00985B97" w:rsidRDefault="00200923"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Sin foro tripartito equivalente al FONTE; la convergencia se apoya en la capacidad técnica compartida de la BCN</w:t>
            </w:r>
          </w:p>
        </w:tc>
        <w:tc>
          <w:tcPr>
            <w:tcW w:w="2630" w:type="dxa"/>
            <w:vAlign w:val="center"/>
          </w:tcPr>
          <w:p w14:paraId="0B43AC78" w14:textId="77777777" w:rsidR="00200923" w:rsidRPr="00985B97" w:rsidRDefault="00200923"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Chile: la calidad técnica sustituye parcialmente al consenso institucionalizado previo</w:t>
            </w:r>
          </w:p>
        </w:tc>
      </w:tr>
    </w:tbl>
    <w:p w14:paraId="2680B560" w14:textId="77777777" w:rsidR="00200923" w:rsidRPr="00985B97" w:rsidRDefault="00200923"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Fuente: Elaboración propia. Basado en: </w:t>
      </w:r>
      <w:proofErr w:type="spellStart"/>
      <w:r w:rsidRPr="00985B97">
        <w:rPr>
          <w:rFonts w:asciiTheme="majorHAnsi" w:hAnsiTheme="majorHAnsi" w:cstheme="majorHAnsi"/>
        </w:rPr>
        <w:t>Tsebelis</w:t>
      </w:r>
      <w:proofErr w:type="spellEnd"/>
      <w:r w:rsidRPr="00985B97">
        <w:rPr>
          <w:rFonts w:asciiTheme="majorHAnsi" w:hAnsiTheme="majorHAnsi" w:cstheme="majorHAnsi"/>
        </w:rPr>
        <w:t xml:space="preserve"> (1995), Aninat, </w:t>
      </w:r>
      <w:proofErr w:type="spellStart"/>
      <w:r w:rsidRPr="00985B97">
        <w:rPr>
          <w:rFonts w:asciiTheme="majorHAnsi" w:hAnsiTheme="majorHAnsi" w:cstheme="majorHAnsi"/>
        </w:rPr>
        <w:t>Londregan</w:t>
      </w:r>
      <w:proofErr w:type="spellEnd"/>
      <w:r w:rsidRPr="00985B97">
        <w:rPr>
          <w:rFonts w:asciiTheme="majorHAnsi" w:hAnsiTheme="majorHAnsi" w:cstheme="majorHAnsi"/>
        </w:rPr>
        <w:t>, Navia y Vial (2006).</w:t>
      </w:r>
    </w:p>
    <w:p w14:paraId="32BAEA4F" w14:textId="77777777" w:rsidR="00FF7AC3" w:rsidRPr="00985B97" w:rsidRDefault="00622B8B"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lastRenderedPageBreak/>
        <w:t>E</w:t>
      </w:r>
      <w:r w:rsidR="005C3570" w:rsidRPr="00985B97">
        <w:rPr>
          <w:rFonts w:asciiTheme="majorHAnsi" w:hAnsiTheme="majorHAnsi" w:cstheme="majorHAnsi"/>
        </w:rPr>
        <w:t>n e</w:t>
      </w:r>
      <w:r w:rsidRPr="00985B97">
        <w:rPr>
          <w:rFonts w:asciiTheme="majorHAnsi" w:hAnsiTheme="majorHAnsi" w:cstheme="majorHAnsi"/>
        </w:rPr>
        <w:t xml:space="preserve">l caso chileno </w:t>
      </w:r>
      <w:r w:rsidR="005C3570" w:rsidRPr="00985B97">
        <w:rPr>
          <w:rFonts w:asciiTheme="majorHAnsi" w:hAnsiTheme="majorHAnsi" w:cstheme="majorHAnsi"/>
        </w:rPr>
        <w:t xml:space="preserve">no existe </w:t>
      </w:r>
      <w:r w:rsidRPr="00985B97">
        <w:rPr>
          <w:rFonts w:asciiTheme="majorHAnsi" w:hAnsiTheme="majorHAnsi" w:cstheme="majorHAnsi"/>
        </w:rPr>
        <w:t>un mecanismo de agregación de preferencias previo a la radicación de proyectos</w:t>
      </w:r>
      <w:r w:rsidR="005C3570" w:rsidRPr="00985B97">
        <w:rPr>
          <w:rFonts w:asciiTheme="majorHAnsi" w:hAnsiTheme="majorHAnsi" w:cstheme="majorHAnsi"/>
        </w:rPr>
        <w:t>, c</w:t>
      </w:r>
      <w:r w:rsidRPr="00985B97">
        <w:rPr>
          <w:rFonts w:asciiTheme="majorHAnsi" w:hAnsiTheme="majorHAnsi" w:cstheme="majorHAnsi"/>
        </w:rPr>
        <w:t xml:space="preserve">omo el FONTE en Brasil, sino una capacidad técnica legislativa autónoma y de alta especialización </w:t>
      </w:r>
      <w:r w:rsidR="005C3570" w:rsidRPr="00985B97">
        <w:rPr>
          <w:rFonts w:asciiTheme="majorHAnsi" w:hAnsiTheme="majorHAnsi" w:cstheme="majorHAnsi"/>
        </w:rPr>
        <w:t>(</w:t>
      </w:r>
      <w:r w:rsidRPr="00985B97">
        <w:rPr>
          <w:rFonts w:asciiTheme="majorHAnsi" w:hAnsiTheme="majorHAnsi" w:cstheme="majorHAnsi"/>
        </w:rPr>
        <w:t>la BCN y su ATP</w:t>
      </w:r>
      <w:r w:rsidR="005C3570" w:rsidRPr="00985B97">
        <w:rPr>
          <w:rFonts w:asciiTheme="majorHAnsi" w:hAnsiTheme="majorHAnsi" w:cstheme="majorHAnsi"/>
        </w:rPr>
        <w:t xml:space="preserve">) </w:t>
      </w:r>
      <w:r w:rsidRPr="00985B97">
        <w:rPr>
          <w:rFonts w:asciiTheme="majorHAnsi" w:hAnsiTheme="majorHAnsi" w:cstheme="majorHAnsi"/>
        </w:rPr>
        <w:t xml:space="preserve">que reduce la asimetría de información entre el </w:t>
      </w:r>
      <w:r w:rsidR="001D4B0A" w:rsidRPr="00985B97">
        <w:rPr>
          <w:rFonts w:asciiTheme="majorHAnsi" w:hAnsiTheme="majorHAnsi" w:cstheme="majorHAnsi"/>
        </w:rPr>
        <w:t>ejecutivo</w:t>
      </w:r>
      <w:r w:rsidRPr="00985B97">
        <w:rPr>
          <w:rFonts w:asciiTheme="majorHAnsi" w:hAnsiTheme="majorHAnsi" w:cstheme="majorHAnsi"/>
        </w:rPr>
        <w:t xml:space="preserve"> y el </w:t>
      </w:r>
      <w:r w:rsidR="001D4B0A" w:rsidRPr="00985B97">
        <w:rPr>
          <w:rFonts w:asciiTheme="majorHAnsi" w:hAnsiTheme="majorHAnsi" w:cstheme="majorHAnsi"/>
        </w:rPr>
        <w:t>legislativo</w:t>
      </w:r>
      <w:r w:rsidRPr="00985B97">
        <w:rPr>
          <w:rFonts w:asciiTheme="majorHAnsi" w:hAnsiTheme="majorHAnsi" w:cstheme="majorHAnsi"/>
        </w:rPr>
        <w:t xml:space="preserve"> sin necesidad de que ambos poderes compartan una coalición de gobierno estable. Para el caso colombiano, caracterizado por una fragmentación partidaria comparable a la chilena</w:t>
      </w:r>
      <w:r w:rsidR="005C3570" w:rsidRPr="00985B97">
        <w:rPr>
          <w:rFonts w:asciiTheme="majorHAnsi" w:hAnsiTheme="majorHAnsi" w:cstheme="majorHAnsi"/>
        </w:rPr>
        <w:t>,</w:t>
      </w:r>
      <w:r w:rsidRPr="00985B97">
        <w:rPr>
          <w:rFonts w:asciiTheme="majorHAnsi" w:hAnsiTheme="majorHAnsi" w:cstheme="majorHAnsi"/>
        </w:rPr>
        <w:t xml:space="preserve"> pero sin ningún equivalente institucional a la BCN, </w:t>
      </w:r>
      <w:r w:rsidR="005C3570" w:rsidRPr="00985B97">
        <w:rPr>
          <w:rFonts w:asciiTheme="majorHAnsi" w:hAnsiTheme="majorHAnsi" w:cstheme="majorHAnsi"/>
        </w:rPr>
        <w:t>esto sugiere</w:t>
      </w:r>
      <w:r w:rsidRPr="00985B97">
        <w:rPr>
          <w:rFonts w:asciiTheme="majorHAnsi" w:hAnsiTheme="majorHAnsi" w:cstheme="majorHAnsi"/>
        </w:rPr>
        <w:t xml:space="preserve"> que el fortalecimiento del análisis estratégico legislativo no depende exclusivamente de la existencia de mayorías parlamentarias disciplinadas, sino de la inversión sostenida en infraestructura técnica de asesoría, independiente del ciclo político y accesible a todas las bancadas</w:t>
      </w:r>
      <w:r w:rsidR="00FF7AC3" w:rsidRPr="00985B97">
        <w:rPr>
          <w:rFonts w:asciiTheme="majorHAnsi" w:hAnsiTheme="majorHAnsi" w:cstheme="majorHAnsi"/>
        </w:rPr>
        <w:t>.</w:t>
      </w:r>
    </w:p>
    <w:p w14:paraId="47BBA8A6" w14:textId="77777777" w:rsidR="00FF7AC3" w:rsidRPr="00985B97" w:rsidRDefault="004724DF" w:rsidP="00985B97">
      <w:pPr>
        <w:pStyle w:val="Ttulo3"/>
        <w:rPr>
          <w:rFonts w:asciiTheme="majorHAnsi" w:hAnsiTheme="majorHAnsi" w:cstheme="majorHAnsi"/>
          <w:sz w:val="22"/>
          <w:szCs w:val="22"/>
        </w:rPr>
      </w:pPr>
      <w:bookmarkStart w:id="191" w:name="_Toc235092574"/>
      <w:bookmarkStart w:id="192" w:name="_Toc235108018"/>
      <w:r w:rsidRPr="00985B97">
        <w:rPr>
          <w:rFonts w:asciiTheme="majorHAnsi" w:hAnsiTheme="majorHAnsi" w:cstheme="majorHAnsi"/>
          <w:sz w:val="22"/>
          <w:szCs w:val="22"/>
        </w:rPr>
        <w:t>2</w:t>
      </w:r>
      <w:r w:rsidR="00222BBC" w:rsidRPr="00985B97">
        <w:rPr>
          <w:rFonts w:asciiTheme="majorHAnsi" w:hAnsiTheme="majorHAnsi" w:cstheme="majorHAnsi"/>
          <w:sz w:val="22"/>
          <w:szCs w:val="22"/>
        </w:rPr>
        <w:t>.</w:t>
      </w:r>
      <w:r w:rsidR="00CD0C90" w:rsidRPr="00985B97">
        <w:rPr>
          <w:rFonts w:asciiTheme="majorHAnsi" w:hAnsiTheme="majorHAnsi" w:cstheme="majorHAnsi"/>
          <w:sz w:val="22"/>
          <w:szCs w:val="22"/>
        </w:rPr>
        <w:t>1</w:t>
      </w:r>
      <w:r w:rsidR="00AD77F5" w:rsidRPr="00985B97">
        <w:rPr>
          <w:rFonts w:asciiTheme="majorHAnsi" w:hAnsiTheme="majorHAnsi" w:cstheme="majorHAnsi"/>
          <w:sz w:val="22"/>
          <w:szCs w:val="22"/>
        </w:rPr>
        <w:t>.</w:t>
      </w:r>
      <w:r w:rsidR="00FF7AC3" w:rsidRPr="00985B97">
        <w:rPr>
          <w:rFonts w:asciiTheme="majorHAnsi" w:hAnsiTheme="majorHAnsi" w:cstheme="majorHAnsi"/>
          <w:sz w:val="22"/>
          <w:szCs w:val="22"/>
        </w:rPr>
        <w:t xml:space="preserve">3 México: </w:t>
      </w:r>
      <w:r w:rsidR="00622B8B" w:rsidRPr="00985B97">
        <w:rPr>
          <w:rFonts w:asciiTheme="majorHAnsi" w:hAnsiTheme="majorHAnsi" w:cstheme="majorHAnsi"/>
          <w:sz w:val="22"/>
          <w:szCs w:val="22"/>
        </w:rPr>
        <w:t xml:space="preserve">mayoría calificada, veto </w:t>
      </w:r>
      <w:proofErr w:type="spellStart"/>
      <w:r w:rsidR="00622B8B" w:rsidRPr="00985B97">
        <w:rPr>
          <w:rFonts w:asciiTheme="majorHAnsi" w:hAnsiTheme="majorHAnsi" w:cstheme="majorHAnsi"/>
          <w:sz w:val="22"/>
          <w:szCs w:val="22"/>
        </w:rPr>
        <w:t>players</w:t>
      </w:r>
      <w:proofErr w:type="spellEnd"/>
      <w:r w:rsidR="00622B8B" w:rsidRPr="00985B97">
        <w:rPr>
          <w:rFonts w:asciiTheme="majorHAnsi" w:hAnsiTheme="majorHAnsi" w:cstheme="majorHAnsi"/>
          <w:sz w:val="22"/>
          <w:szCs w:val="22"/>
        </w:rPr>
        <w:t xml:space="preserve"> mínimos y recentralización de política energética</w:t>
      </w:r>
      <w:bookmarkEnd w:id="191"/>
      <w:bookmarkEnd w:id="192"/>
    </w:p>
    <w:p w14:paraId="0541BAE1" w14:textId="77777777" w:rsidR="00622B8B" w:rsidRPr="00985B97" w:rsidRDefault="00622B8B"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México es una república presidencial federal en la que el Poder </w:t>
      </w:r>
      <w:r w:rsidR="001D4B0A" w:rsidRPr="00985B97">
        <w:rPr>
          <w:rFonts w:asciiTheme="majorHAnsi" w:hAnsiTheme="majorHAnsi" w:cstheme="majorHAnsi"/>
        </w:rPr>
        <w:t>ejecutivo</w:t>
      </w:r>
      <w:r w:rsidRPr="00985B97">
        <w:rPr>
          <w:rFonts w:asciiTheme="majorHAnsi" w:hAnsiTheme="majorHAnsi" w:cstheme="majorHAnsi"/>
        </w:rPr>
        <w:t xml:space="preserve"> y el Congreso de la Unión</w:t>
      </w:r>
      <w:r w:rsidR="006118BC" w:rsidRPr="00985B97">
        <w:rPr>
          <w:rFonts w:asciiTheme="majorHAnsi" w:hAnsiTheme="majorHAnsi" w:cstheme="majorHAnsi"/>
        </w:rPr>
        <w:t xml:space="preserve">, un organismo </w:t>
      </w:r>
      <w:r w:rsidRPr="00985B97">
        <w:rPr>
          <w:rFonts w:asciiTheme="majorHAnsi" w:hAnsiTheme="majorHAnsi" w:cstheme="majorHAnsi"/>
        </w:rPr>
        <w:t>bicameral, integrado por una Cámara de Diputados de 500 miembros y un Senado de 128</w:t>
      </w:r>
      <w:r w:rsidR="006118BC" w:rsidRPr="00985B97">
        <w:rPr>
          <w:rFonts w:asciiTheme="majorHAnsi" w:hAnsiTheme="majorHAnsi" w:cstheme="majorHAnsi"/>
        </w:rPr>
        <w:t>,</w:t>
      </w:r>
      <w:r w:rsidRPr="00985B97">
        <w:rPr>
          <w:rFonts w:asciiTheme="majorHAnsi" w:hAnsiTheme="majorHAnsi" w:cstheme="majorHAnsi"/>
        </w:rPr>
        <w:t xml:space="preserve"> se eligen por separado y con períodos fijos. Antes de 2025, la arquitectura institucional del sector energético </w:t>
      </w:r>
      <w:r w:rsidR="006118BC" w:rsidRPr="00985B97">
        <w:rPr>
          <w:rFonts w:asciiTheme="majorHAnsi" w:hAnsiTheme="majorHAnsi" w:cstheme="majorHAnsi"/>
        </w:rPr>
        <w:t>se centraba</w:t>
      </w:r>
      <w:r w:rsidRPr="00985B97">
        <w:rPr>
          <w:rFonts w:asciiTheme="majorHAnsi" w:hAnsiTheme="majorHAnsi" w:cstheme="majorHAnsi"/>
        </w:rPr>
        <w:t xml:space="preserve"> en la Secretaría de Energía (SENER), </w:t>
      </w:r>
      <w:r w:rsidR="006118BC" w:rsidRPr="00985B97">
        <w:rPr>
          <w:rFonts w:asciiTheme="majorHAnsi" w:hAnsiTheme="majorHAnsi" w:cstheme="majorHAnsi"/>
        </w:rPr>
        <w:t xml:space="preserve">como </w:t>
      </w:r>
      <w:r w:rsidRPr="00985B97">
        <w:rPr>
          <w:rFonts w:asciiTheme="majorHAnsi" w:hAnsiTheme="majorHAnsi" w:cstheme="majorHAnsi"/>
        </w:rPr>
        <w:t>cabeza de sector</w:t>
      </w:r>
      <w:r w:rsidR="006118BC" w:rsidRPr="00985B97">
        <w:rPr>
          <w:rFonts w:asciiTheme="majorHAnsi" w:hAnsiTheme="majorHAnsi" w:cstheme="majorHAnsi"/>
        </w:rPr>
        <w:t>,</w:t>
      </w:r>
      <w:r w:rsidRPr="00985B97">
        <w:rPr>
          <w:rFonts w:asciiTheme="majorHAnsi" w:hAnsiTheme="majorHAnsi" w:cstheme="majorHAnsi"/>
        </w:rPr>
        <w:t xml:space="preserve"> la Comisión Reguladora de Energía (CRE), creada en 1995 como órgano regulador autónomo de permisos y tarifas y </w:t>
      </w:r>
      <w:r w:rsidR="006118BC" w:rsidRPr="00985B97">
        <w:rPr>
          <w:rFonts w:asciiTheme="majorHAnsi" w:hAnsiTheme="majorHAnsi" w:cstheme="majorHAnsi"/>
        </w:rPr>
        <w:t xml:space="preserve">en </w:t>
      </w:r>
      <w:r w:rsidRPr="00985B97">
        <w:rPr>
          <w:rFonts w:asciiTheme="majorHAnsi" w:hAnsiTheme="majorHAnsi" w:cstheme="majorHAnsi"/>
        </w:rPr>
        <w:t>la Comisión Nacional para el Uso Eficiente de la Energía, encargada de metas de eficiencia.</w:t>
      </w:r>
    </w:p>
    <w:p w14:paraId="45AB03A8" w14:textId="77777777" w:rsidR="00622B8B" w:rsidRPr="00985B97" w:rsidRDefault="00622B8B"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E</w:t>
      </w:r>
      <w:r w:rsidR="006118BC" w:rsidRPr="00985B97">
        <w:rPr>
          <w:rFonts w:asciiTheme="majorHAnsi" w:hAnsiTheme="majorHAnsi" w:cstheme="majorHAnsi"/>
        </w:rPr>
        <w:t xml:space="preserve">n </w:t>
      </w:r>
      <w:r w:rsidRPr="00985B97">
        <w:rPr>
          <w:rFonts w:asciiTheme="majorHAnsi" w:hAnsiTheme="majorHAnsi" w:cstheme="majorHAnsi"/>
        </w:rPr>
        <w:t>2024</w:t>
      </w:r>
      <w:r w:rsidR="006118BC" w:rsidRPr="00985B97">
        <w:rPr>
          <w:rFonts w:asciiTheme="majorHAnsi" w:hAnsiTheme="majorHAnsi" w:cstheme="majorHAnsi"/>
        </w:rPr>
        <w:t xml:space="preserve"> </w:t>
      </w:r>
      <w:r w:rsidRPr="00985B97">
        <w:rPr>
          <w:rFonts w:asciiTheme="majorHAnsi" w:hAnsiTheme="majorHAnsi" w:cstheme="majorHAnsi"/>
        </w:rPr>
        <w:t xml:space="preserve">la coalición "Sigamos Haciendo Historia" </w:t>
      </w:r>
      <w:r w:rsidR="006118BC" w:rsidRPr="00985B97">
        <w:rPr>
          <w:rFonts w:asciiTheme="majorHAnsi" w:hAnsiTheme="majorHAnsi" w:cstheme="majorHAnsi"/>
        </w:rPr>
        <w:t xml:space="preserve">compuesta por </w:t>
      </w:r>
      <w:r w:rsidRPr="00985B97">
        <w:rPr>
          <w:rFonts w:asciiTheme="majorHAnsi" w:hAnsiTheme="majorHAnsi" w:cstheme="majorHAnsi"/>
        </w:rPr>
        <w:t>Morena, el Partido Verde Ecologista de México y el Partido del Trabajo</w:t>
      </w:r>
      <w:r w:rsidR="006118BC" w:rsidRPr="00985B97">
        <w:rPr>
          <w:rFonts w:asciiTheme="majorHAnsi" w:hAnsiTheme="majorHAnsi" w:cstheme="majorHAnsi"/>
        </w:rPr>
        <w:t xml:space="preserve">, </w:t>
      </w:r>
      <w:r w:rsidR="00235AF1" w:rsidRPr="00985B97">
        <w:rPr>
          <w:rFonts w:asciiTheme="majorHAnsi" w:hAnsiTheme="majorHAnsi" w:cstheme="majorHAnsi"/>
        </w:rPr>
        <w:t>lograron</w:t>
      </w:r>
      <w:r w:rsidRPr="00985B97">
        <w:rPr>
          <w:rFonts w:asciiTheme="majorHAnsi" w:hAnsiTheme="majorHAnsi" w:cstheme="majorHAnsi"/>
        </w:rPr>
        <w:t xml:space="preserve"> el control de 364 de las 500 diputaciones federales, 72,8% de la Cámara baja</w:t>
      </w:r>
      <w:r w:rsidR="00235AF1" w:rsidRPr="00985B97">
        <w:rPr>
          <w:rFonts w:asciiTheme="majorHAnsi" w:hAnsiTheme="majorHAnsi" w:cstheme="majorHAnsi"/>
        </w:rPr>
        <w:t xml:space="preserve">, siendo así una </w:t>
      </w:r>
      <w:r w:rsidRPr="00985B97">
        <w:rPr>
          <w:rFonts w:asciiTheme="majorHAnsi" w:hAnsiTheme="majorHAnsi" w:cstheme="majorHAnsi"/>
        </w:rPr>
        <w:t xml:space="preserve">mayoría calificada </w:t>
      </w:r>
      <w:r w:rsidR="00235AF1" w:rsidRPr="00985B97">
        <w:rPr>
          <w:rFonts w:asciiTheme="majorHAnsi" w:hAnsiTheme="majorHAnsi" w:cstheme="majorHAnsi"/>
        </w:rPr>
        <w:t>que podría</w:t>
      </w:r>
      <w:r w:rsidRPr="00985B97">
        <w:rPr>
          <w:rFonts w:asciiTheme="majorHAnsi" w:hAnsiTheme="majorHAnsi" w:cstheme="majorHAnsi"/>
        </w:rPr>
        <w:t xml:space="preserve"> reformar la Constitución sin votos de oposición (</w:t>
      </w:r>
      <w:bookmarkStart w:id="193" w:name="_Hlk234690176"/>
      <w:r w:rsidRPr="00985B97">
        <w:rPr>
          <w:rFonts w:asciiTheme="majorHAnsi" w:hAnsiTheme="majorHAnsi" w:cstheme="majorHAnsi"/>
        </w:rPr>
        <w:t>CNN, 2024</w:t>
      </w:r>
      <w:bookmarkEnd w:id="193"/>
      <w:r w:rsidRPr="00985B97">
        <w:rPr>
          <w:rFonts w:asciiTheme="majorHAnsi" w:hAnsiTheme="majorHAnsi" w:cstheme="majorHAnsi"/>
        </w:rPr>
        <w:t>). En el Senado, la coalición obtuvo entre 83 y 85 de 128 escaños, superando el umbral de 86 mediante adhesiones de legisladores de otros partidos (N</w:t>
      </w:r>
      <w:bookmarkStart w:id="194" w:name="_Hlk234690201"/>
      <w:r w:rsidRPr="00985B97">
        <w:rPr>
          <w:rFonts w:asciiTheme="majorHAnsi" w:hAnsiTheme="majorHAnsi" w:cstheme="majorHAnsi"/>
        </w:rPr>
        <w:t>+, 2024</w:t>
      </w:r>
      <w:bookmarkEnd w:id="194"/>
      <w:r w:rsidR="00235AF1" w:rsidRPr="00985B97">
        <w:rPr>
          <w:rFonts w:asciiTheme="majorHAnsi" w:hAnsiTheme="majorHAnsi" w:cstheme="majorHAnsi"/>
        </w:rPr>
        <w:t>)</w:t>
      </w:r>
      <w:r w:rsidRPr="00985B97">
        <w:rPr>
          <w:rFonts w:asciiTheme="majorHAnsi" w:hAnsiTheme="majorHAnsi" w:cstheme="majorHAnsi"/>
        </w:rPr>
        <w:t xml:space="preserve">. Esta concentración </w:t>
      </w:r>
      <w:r w:rsidR="00235AF1" w:rsidRPr="00985B97">
        <w:rPr>
          <w:rFonts w:asciiTheme="majorHAnsi" w:hAnsiTheme="majorHAnsi" w:cstheme="majorHAnsi"/>
        </w:rPr>
        <w:t xml:space="preserve">una </w:t>
      </w:r>
      <w:r w:rsidRPr="00985B97">
        <w:rPr>
          <w:rFonts w:asciiTheme="majorHAnsi" w:hAnsiTheme="majorHAnsi" w:cstheme="majorHAnsi"/>
        </w:rPr>
        <w:t xml:space="preserve">constituye la variable comparativa central del caso mexicano: mientras Colombia opera bajo fragmentación multipartidista estructural, México dispuso, desde 2024, de un </w:t>
      </w:r>
      <w:r w:rsidR="001D4B0A" w:rsidRPr="00985B97">
        <w:rPr>
          <w:rFonts w:asciiTheme="majorHAnsi" w:hAnsiTheme="majorHAnsi" w:cstheme="majorHAnsi"/>
        </w:rPr>
        <w:t>ejecutivo</w:t>
      </w:r>
      <w:r w:rsidRPr="00985B97">
        <w:rPr>
          <w:rFonts w:asciiTheme="majorHAnsi" w:hAnsiTheme="majorHAnsi" w:cstheme="majorHAnsi"/>
        </w:rPr>
        <w:t xml:space="preserve"> con mayoría calificada propia en la cámara baja, lo que redujo </w:t>
      </w:r>
      <w:r w:rsidR="00235AF1" w:rsidRPr="00985B97">
        <w:rPr>
          <w:rFonts w:asciiTheme="majorHAnsi" w:hAnsiTheme="majorHAnsi" w:cstheme="majorHAnsi"/>
        </w:rPr>
        <w:t>significativamente</w:t>
      </w:r>
      <w:r w:rsidRPr="00985B97">
        <w:rPr>
          <w:rFonts w:asciiTheme="majorHAnsi" w:hAnsiTheme="majorHAnsi" w:cstheme="majorHAnsi"/>
        </w:rPr>
        <w:t xml:space="preserve"> el número de veto </w:t>
      </w:r>
      <w:proofErr w:type="spellStart"/>
      <w:r w:rsidRPr="00985B97">
        <w:rPr>
          <w:rFonts w:asciiTheme="majorHAnsi" w:hAnsiTheme="majorHAnsi" w:cstheme="majorHAnsi"/>
        </w:rPr>
        <w:t>players</w:t>
      </w:r>
      <w:proofErr w:type="spellEnd"/>
      <w:r w:rsidRPr="00985B97">
        <w:rPr>
          <w:rFonts w:asciiTheme="majorHAnsi" w:hAnsiTheme="majorHAnsi" w:cstheme="majorHAnsi"/>
        </w:rPr>
        <w:t xml:space="preserve"> institucionales requerido para aprobar </w:t>
      </w:r>
      <w:r w:rsidR="00235AF1" w:rsidRPr="00985B97">
        <w:rPr>
          <w:rFonts w:asciiTheme="majorHAnsi" w:hAnsiTheme="majorHAnsi" w:cstheme="majorHAnsi"/>
        </w:rPr>
        <w:t>cualquier iniciativa</w:t>
      </w:r>
      <w:r w:rsidRPr="00985B97">
        <w:rPr>
          <w:rFonts w:asciiTheme="majorHAnsi" w:hAnsiTheme="majorHAnsi" w:cstheme="majorHAnsi"/>
        </w:rPr>
        <w:t>.</w:t>
      </w:r>
    </w:p>
    <w:p w14:paraId="4CB82D88" w14:textId="77777777" w:rsidR="00622B8B" w:rsidRPr="00985B97" w:rsidRDefault="00235AF1"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Bajo</w:t>
      </w:r>
      <w:r w:rsidR="00622B8B" w:rsidRPr="00985B97">
        <w:rPr>
          <w:rFonts w:asciiTheme="majorHAnsi" w:hAnsiTheme="majorHAnsi" w:cstheme="majorHAnsi"/>
        </w:rPr>
        <w:t xml:space="preserve"> es</w:t>
      </w:r>
      <w:r w:rsidRPr="00985B97">
        <w:rPr>
          <w:rFonts w:asciiTheme="majorHAnsi" w:hAnsiTheme="majorHAnsi" w:cstheme="majorHAnsi"/>
        </w:rPr>
        <w:t>t</w:t>
      </w:r>
      <w:r w:rsidR="00622B8B" w:rsidRPr="00985B97">
        <w:rPr>
          <w:rFonts w:asciiTheme="majorHAnsi" w:hAnsiTheme="majorHAnsi" w:cstheme="majorHAnsi"/>
        </w:rPr>
        <w:t xml:space="preserve">e respaldo, el </w:t>
      </w:r>
      <w:r w:rsidR="001D4B0A" w:rsidRPr="00985B97">
        <w:rPr>
          <w:rFonts w:asciiTheme="majorHAnsi" w:hAnsiTheme="majorHAnsi" w:cstheme="majorHAnsi"/>
        </w:rPr>
        <w:t>ejecutivo</w:t>
      </w:r>
      <w:r w:rsidR="00622B8B" w:rsidRPr="00985B97">
        <w:rPr>
          <w:rFonts w:asciiTheme="majorHAnsi" w:hAnsiTheme="majorHAnsi" w:cstheme="majorHAnsi"/>
        </w:rPr>
        <w:t xml:space="preserve"> promovió una reforma </w:t>
      </w:r>
      <w:r w:rsidRPr="00985B97">
        <w:rPr>
          <w:rFonts w:asciiTheme="majorHAnsi" w:hAnsiTheme="majorHAnsi" w:cstheme="majorHAnsi"/>
        </w:rPr>
        <w:t>constitucional en</w:t>
      </w:r>
      <w:r w:rsidR="00622B8B" w:rsidRPr="00985B97">
        <w:rPr>
          <w:rFonts w:asciiTheme="majorHAnsi" w:hAnsiTheme="majorHAnsi" w:cstheme="majorHAnsi"/>
        </w:rPr>
        <w:t xml:space="preserve"> 2024 (</w:t>
      </w:r>
      <w:bookmarkStart w:id="195" w:name="_Hlk234690270"/>
      <w:r w:rsidR="00622B8B" w:rsidRPr="00985B97">
        <w:rPr>
          <w:rFonts w:asciiTheme="majorHAnsi" w:hAnsiTheme="majorHAnsi" w:cstheme="majorHAnsi"/>
        </w:rPr>
        <w:t>Cámara de Diputados,</w:t>
      </w:r>
      <w:bookmarkEnd w:id="195"/>
      <w:r w:rsidRPr="00985B97">
        <w:rPr>
          <w:rFonts w:asciiTheme="majorHAnsi" w:hAnsiTheme="majorHAnsi" w:cstheme="majorHAnsi"/>
        </w:rPr>
        <w:t xml:space="preserve"> 2024</w:t>
      </w:r>
      <w:r w:rsidR="00622B8B" w:rsidRPr="00985B97">
        <w:rPr>
          <w:rFonts w:asciiTheme="majorHAnsi" w:hAnsiTheme="majorHAnsi" w:cstheme="majorHAnsi"/>
        </w:rPr>
        <w:t>)</w:t>
      </w:r>
      <w:r w:rsidRPr="00985B97">
        <w:rPr>
          <w:rFonts w:asciiTheme="majorHAnsi" w:hAnsiTheme="majorHAnsi" w:cstheme="majorHAnsi"/>
        </w:rPr>
        <w:t xml:space="preserve">, que </w:t>
      </w:r>
      <w:r w:rsidR="00622B8B" w:rsidRPr="00985B97">
        <w:rPr>
          <w:rFonts w:asciiTheme="majorHAnsi" w:hAnsiTheme="majorHAnsi" w:cstheme="majorHAnsi"/>
        </w:rPr>
        <w:t xml:space="preserve">estableció que el sector público tendría a su cargo, de manera exclusiva, las áreas estratégicas </w:t>
      </w:r>
      <w:r w:rsidR="00622B8B" w:rsidRPr="00985B97">
        <w:rPr>
          <w:rFonts w:asciiTheme="majorHAnsi" w:hAnsiTheme="majorHAnsi" w:cstheme="majorHAnsi"/>
        </w:rPr>
        <w:lastRenderedPageBreak/>
        <w:t>del sistema eléctrico y de hidrocarburos</w:t>
      </w:r>
      <w:r w:rsidRPr="00985B97">
        <w:rPr>
          <w:rFonts w:asciiTheme="majorHAnsi" w:hAnsiTheme="majorHAnsi" w:cstheme="majorHAnsi"/>
        </w:rPr>
        <w:t>, modificando así</w:t>
      </w:r>
      <w:r w:rsidR="00622B8B" w:rsidRPr="00985B97">
        <w:rPr>
          <w:rFonts w:asciiTheme="majorHAnsi" w:hAnsiTheme="majorHAnsi" w:cstheme="majorHAnsi"/>
        </w:rPr>
        <w:t xml:space="preserve"> el eje de libre competencia entre agentes públicos y privados introducido por la reforma energética de 2013</w:t>
      </w:r>
      <w:r w:rsidRPr="00985B97">
        <w:rPr>
          <w:rFonts w:asciiTheme="majorHAnsi" w:hAnsiTheme="majorHAnsi" w:cstheme="majorHAnsi"/>
        </w:rPr>
        <w:t>,</w:t>
      </w:r>
      <w:r w:rsidR="00622B8B" w:rsidRPr="00985B97">
        <w:rPr>
          <w:rFonts w:asciiTheme="majorHAnsi" w:hAnsiTheme="majorHAnsi" w:cstheme="majorHAnsi"/>
        </w:rPr>
        <w:t xml:space="preserve"> y fijó un plazo de 180 días naturales para expedir la legislación secundaria correspondiente. </w:t>
      </w:r>
      <w:r w:rsidRPr="00985B97">
        <w:rPr>
          <w:rFonts w:asciiTheme="majorHAnsi" w:hAnsiTheme="majorHAnsi" w:cstheme="majorHAnsi"/>
        </w:rPr>
        <w:t>Durante e</w:t>
      </w:r>
      <w:r w:rsidR="00622B8B" w:rsidRPr="00985B97">
        <w:rPr>
          <w:rFonts w:asciiTheme="majorHAnsi" w:hAnsiTheme="majorHAnsi" w:cstheme="majorHAnsi"/>
        </w:rPr>
        <w:t>se plazo</w:t>
      </w:r>
      <w:r w:rsidRPr="00985B97">
        <w:rPr>
          <w:rFonts w:asciiTheme="majorHAnsi" w:hAnsiTheme="majorHAnsi" w:cstheme="majorHAnsi"/>
        </w:rPr>
        <w:t xml:space="preserve">, </w:t>
      </w:r>
      <w:r w:rsidR="00622B8B" w:rsidRPr="00985B97">
        <w:rPr>
          <w:rFonts w:asciiTheme="majorHAnsi" w:hAnsiTheme="majorHAnsi" w:cstheme="majorHAnsi"/>
        </w:rPr>
        <w:t xml:space="preserve">las comisiones unidas de Energía y Estudios </w:t>
      </w:r>
      <w:r w:rsidR="001D4B0A" w:rsidRPr="00985B97">
        <w:rPr>
          <w:rFonts w:asciiTheme="majorHAnsi" w:hAnsiTheme="majorHAnsi" w:cstheme="majorHAnsi"/>
        </w:rPr>
        <w:t>legislativo</w:t>
      </w:r>
      <w:r w:rsidR="00622B8B" w:rsidRPr="00985B97">
        <w:rPr>
          <w:rFonts w:asciiTheme="majorHAnsi" w:hAnsiTheme="majorHAnsi" w:cstheme="majorHAnsi"/>
        </w:rPr>
        <w:t xml:space="preserve">s del Senado aprobaron ocho leyes secundarias </w:t>
      </w:r>
      <w:r w:rsidRPr="00985B97">
        <w:rPr>
          <w:rFonts w:asciiTheme="majorHAnsi" w:hAnsiTheme="majorHAnsi" w:cstheme="majorHAnsi"/>
        </w:rPr>
        <w:t>en</w:t>
      </w:r>
      <w:r w:rsidR="00622B8B" w:rsidRPr="00985B97">
        <w:rPr>
          <w:rFonts w:asciiTheme="majorHAnsi" w:hAnsiTheme="majorHAnsi" w:cstheme="majorHAnsi"/>
        </w:rPr>
        <w:t xml:space="preserve"> 2025, la Cámara de Diputados lo aprobó en lo general el 12 de marzo de 2025 con 332 votos a favor y 83 en contra, y el conjunto se publicó en el DOF el 18 de marzo de 2025 (</w:t>
      </w:r>
      <w:bookmarkStart w:id="196" w:name="_Hlk234690355"/>
      <w:r w:rsidR="00622B8B" w:rsidRPr="00985B97">
        <w:rPr>
          <w:rFonts w:asciiTheme="majorHAnsi" w:hAnsiTheme="majorHAnsi" w:cstheme="majorHAnsi"/>
        </w:rPr>
        <w:t>La Jornada, 12 de marzo de 2025</w:t>
      </w:r>
      <w:bookmarkEnd w:id="196"/>
      <w:r w:rsidR="00622B8B" w:rsidRPr="00985B97">
        <w:rPr>
          <w:rFonts w:asciiTheme="majorHAnsi" w:hAnsiTheme="majorHAnsi" w:cstheme="majorHAnsi"/>
        </w:rPr>
        <w:t>)</w:t>
      </w:r>
      <w:r w:rsidRPr="00985B97">
        <w:rPr>
          <w:rFonts w:asciiTheme="majorHAnsi" w:hAnsiTheme="majorHAnsi" w:cstheme="majorHAnsi"/>
        </w:rPr>
        <w:t>. En menos de 5 meses se</w:t>
      </w:r>
      <w:r w:rsidR="00622B8B" w:rsidRPr="00985B97">
        <w:rPr>
          <w:rFonts w:asciiTheme="majorHAnsi" w:hAnsiTheme="majorHAnsi" w:cstheme="majorHAnsi"/>
        </w:rPr>
        <w:t xml:space="preserve"> la </w:t>
      </w:r>
      <w:r w:rsidRPr="00985B97">
        <w:rPr>
          <w:rFonts w:asciiTheme="majorHAnsi" w:hAnsiTheme="majorHAnsi" w:cstheme="majorHAnsi"/>
        </w:rPr>
        <w:t>publicó</w:t>
      </w:r>
      <w:r w:rsidR="00622B8B" w:rsidRPr="00985B97">
        <w:rPr>
          <w:rFonts w:asciiTheme="majorHAnsi" w:hAnsiTheme="majorHAnsi" w:cstheme="majorHAnsi"/>
        </w:rPr>
        <w:t xml:space="preserve"> la reforma constitucional y </w:t>
      </w:r>
      <w:r w:rsidRPr="00985B97">
        <w:rPr>
          <w:rFonts w:asciiTheme="majorHAnsi" w:hAnsiTheme="majorHAnsi" w:cstheme="majorHAnsi"/>
        </w:rPr>
        <w:t>se</w:t>
      </w:r>
      <w:r w:rsidR="00622B8B" w:rsidRPr="00985B97">
        <w:rPr>
          <w:rFonts w:asciiTheme="majorHAnsi" w:hAnsiTheme="majorHAnsi" w:cstheme="majorHAnsi"/>
        </w:rPr>
        <w:t xml:space="preserve"> promulg</w:t>
      </w:r>
      <w:r w:rsidRPr="00985B97">
        <w:rPr>
          <w:rFonts w:asciiTheme="majorHAnsi" w:hAnsiTheme="majorHAnsi" w:cstheme="majorHAnsi"/>
        </w:rPr>
        <w:t>ó</w:t>
      </w:r>
      <w:r w:rsidR="00622B8B" w:rsidRPr="00985B97">
        <w:rPr>
          <w:rFonts w:asciiTheme="majorHAnsi" w:hAnsiTheme="majorHAnsi" w:cstheme="majorHAnsi"/>
        </w:rPr>
        <w:t xml:space="preserve"> la legislación secundaria completa, un</w:t>
      </w:r>
      <w:r w:rsidRPr="00985B97">
        <w:rPr>
          <w:rFonts w:asciiTheme="majorHAnsi" w:hAnsiTheme="majorHAnsi" w:cstheme="majorHAnsi"/>
        </w:rPr>
        <w:t>a velocidad d</w:t>
      </w:r>
      <w:r w:rsidR="00622B8B" w:rsidRPr="00985B97">
        <w:rPr>
          <w:rFonts w:asciiTheme="majorHAnsi" w:hAnsiTheme="majorHAnsi" w:cstheme="majorHAnsi"/>
        </w:rPr>
        <w:t xml:space="preserve">e tramitación </w:t>
      </w:r>
      <w:r w:rsidRPr="00985B97">
        <w:rPr>
          <w:rFonts w:asciiTheme="majorHAnsi" w:hAnsiTheme="majorHAnsi" w:cstheme="majorHAnsi"/>
        </w:rPr>
        <w:t xml:space="preserve">muy rápida y </w:t>
      </w:r>
      <w:r w:rsidR="00622B8B" w:rsidRPr="00985B97">
        <w:rPr>
          <w:rFonts w:asciiTheme="majorHAnsi" w:hAnsiTheme="majorHAnsi" w:cstheme="majorHAnsi"/>
        </w:rPr>
        <w:t xml:space="preserve">consistente con lo que </w:t>
      </w:r>
      <w:r w:rsidRPr="00985B97">
        <w:rPr>
          <w:rFonts w:asciiTheme="majorHAnsi" w:hAnsiTheme="majorHAnsi" w:cstheme="majorHAnsi"/>
        </w:rPr>
        <w:t>en la teoría</w:t>
      </w:r>
      <w:r w:rsidR="00622B8B" w:rsidRPr="00985B97">
        <w:rPr>
          <w:rFonts w:asciiTheme="majorHAnsi" w:hAnsiTheme="majorHAnsi" w:cstheme="majorHAnsi"/>
        </w:rPr>
        <w:t xml:space="preserve"> de veto </w:t>
      </w:r>
      <w:proofErr w:type="spellStart"/>
      <w:r w:rsidR="00622B8B" w:rsidRPr="00985B97">
        <w:rPr>
          <w:rFonts w:asciiTheme="majorHAnsi" w:hAnsiTheme="majorHAnsi" w:cstheme="majorHAnsi"/>
        </w:rPr>
        <w:t>players</w:t>
      </w:r>
      <w:proofErr w:type="spellEnd"/>
      <w:r w:rsidR="00622B8B" w:rsidRPr="00985B97">
        <w:rPr>
          <w:rFonts w:asciiTheme="majorHAnsi" w:hAnsiTheme="majorHAnsi" w:cstheme="majorHAnsi"/>
        </w:rPr>
        <w:t xml:space="preserve"> </w:t>
      </w:r>
      <w:r w:rsidRPr="00985B97">
        <w:rPr>
          <w:rFonts w:asciiTheme="majorHAnsi" w:hAnsiTheme="majorHAnsi" w:cstheme="majorHAnsi"/>
        </w:rPr>
        <w:t>se señala</w:t>
      </w:r>
      <w:r w:rsidR="00622B8B" w:rsidRPr="00985B97">
        <w:rPr>
          <w:rFonts w:asciiTheme="majorHAnsi" w:hAnsiTheme="majorHAnsi" w:cstheme="majorHAnsi"/>
        </w:rPr>
        <w:t xml:space="preserve"> para sistemas en los que el número de actores con capacidad de bloqueo efectivo se reduce a uno solo: el bloque gobernante mismo.</w:t>
      </w:r>
    </w:p>
    <w:p w14:paraId="50B78AA7" w14:textId="77777777" w:rsidR="00622B8B" w:rsidRPr="00985B97" w:rsidRDefault="00622B8B"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Entre las ocho leyes secundarias destaca la Ley del Sector Eléctrico, que sustituyó a la Ley de la Industria Eléctrica de 2021 y estableció que la Comisión Federal de Electricidad (CFE) debe mantener al menos 54% del promedio anual de energía inyectada a la red, dejando 46% a la participación privada, </w:t>
      </w:r>
      <w:r w:rsidR="00235AF1" w:rsidRPr="00985B97">
        <w:rPr>
          <w:rFonts w:asciiTheme="majorHAnsi" w:hAnsiTheme="majorHAnsi" w:cstheme="majorHAnsi"/>
        </w:rPr>
        <w:t>e incorporando</w:t>
      </w:r>
      <w:r w:rsidRPr="00985B97">
        <w:rPr>
          <w:rFonts w:asciiTheme="majorHAnsi" w:hAnsiTheme="majorHAnsi" w:cstheme="majorHAnsi"/>
        </w:rPr>
        <w:t xml:space="preserve"> por primera vez el concepto de "justicia energética" (</w:t>
      </w:r>
      <w:bookmarkStart w:id="197" w:name="_Hlk234690526"/>
      <w:r w:rsidRPr="00985B97">
        <w:rPr>
          <w:rFonts w:asciiTheme="majorHAnsi" w:hAnsiTheme="majorHAnsi" w:cstheme="majorHAnsi"/>
        </w:rPr>
        <w:t xml:space="preserve">Reporte </w:t>
      </w:r>
      <w:proofErr w:type="spellStart"/>
      <w:r w:rsidRPr="00985B97">
        <w:rPr>
          <w:rFonts w:asciiTheme="majorHAnsi" w:hAnsiTheme="majorHAnsi" w:cstheme="majorHAnsi"/>
        </w:rPr>
        <w:t>Integralia</w:t>
      </w:r>
      <w:proofErr w:type="spellEnd"/>
      <w:r w:rsidRPr="00985B97">
        <w:rPr>
          <w:rFonts w:asciiTheme="majorHAnsi" w:hAnsiTheme="majorHAnsi" w:cstheme="majorHAnsi"/>
        </w:rPr>
        <w:t>, 7 de abril de 2025</w:t>
      </w:r>
      <w:bookmarkEnd w:id="197"/>
      <w:r w:rsidRPr="00985B97">
        <w:rPr>
          <w:rFonts w:asciiTheme="majorHAnsi" w:hAnsiTheme="majorHAnsi" w:cstheme="majorHAnsi"/>
        </w:rPr>
        <w:t>)</w:t>
      </w:r>
      <w:r w:rsidR="00235AF1" w:rsidRPr="00985B97">
        <w:rPr>
          <w:rFonts w:asciiTheme="majorHAnsi" w:hAnsiTheme="majorHAnsi" w:cstheme="majorHAnsi"/>
        </w:rPr>
        <w:t>. L</w:t>
      </w:r>
      <w:r w:rsidRPr="00985B97">
        <w:rPr>
          <w:rFonts w:asciiTheme="majorHAnsi" w:hAnsiTheme="majorHAnsi" w:cstheme="majorHAnsi"/>
        </w:rPr>
        <w:t>a Ley de la Comisión Nacional de Energía</w:t>
      </w:r>
      <w:r w:rsidR="00235AF1" w:rsidRPr="00985B97">
        <w:rPr>
          <w:rFonts w:asciiTheme="majorHAnsi" w:hAnsiTheme="majorHAnsi" w:cstheme="majorHAnsi"/>
        </w:rPr>
        <w:t xml:space="preserve"> </w:t>
      </w:r>
      <w:r w:rsidRPr="00985B97">
        <w:rPr>
          <w:rFonts w:asciiTheme="majorHAnsi" w:hAnsiTheme="majorHAnsi" w:cstheme="majorHAnsi"/>
        </w:rPr>
        <w:t>de 2025, fusionó la CRE y la Comisión Nacional de Hidrocarburos en un nuevo órgano</w:t>
      </w:r>
      <w:r w:rsidR="00235AF1" w:rsidRPr="00985B97">
        <w:rPr>
          <w:rFonts w:asciiTheme="majorHAnsi" w:hAnsiTheme="majorHAnsi" w:cstheme="majorHAnsi"/>
        </w:rPr>
        <w:t xml:space="preserve">, </w:t>
      </w:r>
      <w:r w:rsidRPr="00985B97">
        <w:rPr>
          <w:rFonts w:asciiTheme="majorHAnsi" w:hAnsiTheme="majorHAnsi" w:cstheme="majorHAnsi"/>
        </w:rPr>
        <w:t>la Comisión Nacional de Energía (CNE)</w:t>
      </w:r>
      <w:r w:rsidR="00235AF1" w:rsidRPr="00985B97">
        <w:rPr>
          <w:rFonts w:asciiTheme="majorHAnsi" w:hAnsiTheme="majorHAnsi" w:cstheme="majorHAnsi"/>
        </w:rPr>
        <w:t xml:space="preserve">, </w:t>
      </w:r>
      <w:r w:rsidRPr="00985B97">
        <w:rPr>
          <w:rFonts w:asciiTheme="majorHAnsi" w:hAnsiTheme="majorHAnsi" w:cstheme="majorHAnsi"/>
        </w:rPr>
        <w:t xml:space="preserve">integrado a la estructura de la SENER, con una Dirección General nombrada y removida libremente por el </w:t>
      </w:r>
      <w:r w:rsidR="001D4B0A" w:rsidRPr="00985B97">
        <w:rPr>
          <w:rFonts w:asciiTheme="majorHAnsi" w:hAnsiTheme="majorHAnsi" w:cstheme="majorHAnsi"/>
        </w:rPr>
        <w:t>ejecutivo</w:t>
      </w:r>
      <w:r w:rsidRPr="00985B97">
        <w:rPr>
          <w:rFonts w:asciiTheme="majorHAnsi" w:hAnsiTheme="majorHAnsi" w:cstheme="majorHAnsi"/>
        </w:rPr>
        <w:t xml:space="preserve"> Federal y ratificada por el Senado, en sustitución del modelo de presidencia colegiada y secretaría técnica que caracterizaba a los órganos reguladores autónomos previos (</w:t>
      </w:r>
      <w:bookmarkStart w:id="198" w:name="_Hlk234690574"/>
      <w:r w:rsidRPr="00985B97">
        <w:rPr>
          <w:rFonts w:asciiTheme="majorHAnsi" w:hAnsiTheme="majorHAnsi" w:cstheme="majorHAnsi"/>
        </w:rPr>
        <w:t>Jones Day, 12 de mayo de 2025</w:t>
      </w:r>
      <w:bookmarkEnd w:id="198"/>
      <w:r w:rsidRPr="00985B97">
        <w:rPr>
          <w:rFonts w:asciiTheme="majorHAnsi" w:hAnsiTheme="majorHAnsi" w:cstheme="majorHAnsi"/>
        </w:rPr>
        <w:t xml:space="preserve">). Este cambio institucional representa una recentralización administrativa explícita del sector energético dentro del Poder </w:t>
      </w:r>
      <w:r w:rsidR="001D4B0A" w:rsidRPr="00985B97">
        <w:rPr>
          <w:rFonts w:asciiTheme="majorHAnsi" w:hAnsiTheme="majorHAnsi" w:cstheme="majorHAnsi"/>
        </w:rPr>
        <w:t>ejecutivo</w:t>
      </w:r>
      <w:r w:rsidRPr="00985B97">
        <w:rPr>
          <w:rFonts w:asciiTheme="majorHAnsi" w:hAnsiTheme="majorHAnsi" w:cstheme="majorHAnsi"/>
        </w:rPr>
        <w:t>.</w:t>
      </w:r>
    </w:p>
    <w:p w14:paraId="2C4F171D" w14:textId="77777777" w:rsidR="00622B8B" w:rsidRPr="00985B97" w:rsidRDefault="00622B8B"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En </w:t>
      </w:r>
      <w:r w:rsidR="00235AF1" w:rsidRPr="00985B97">
        <w:rPr>
          <w:rFonts w:asciiTheme="majorHAnsi" w:hAnsiTheme="majorHAnsi" w:cstheme="majorHAnsi"/>
        </w:rPr>
        <w:t>cuanto</w:t>
      </w:r>
      <w:r w:rsidRPr="00985B97">
        <w:rPr>
          <w:rFonts w:asciiTheme="majorHAnsi" w:hAnsiTheme="majorHAnsi" w:cstheme="majorHAnsi"/>
        </w:rPr>
        <w:t xml:space="preserve"> </w:t>
      </w:r>
      <w:r w:rsidR="00235AF1" w:rsidRPr="00985B97">
        <w:rPr>
          <w:rFonts w:asciiTheme="majorHAnsi" w:hAnsiTheme="majorHAnsi" w:cstheme="majorHAnsi"/>
        </w:rPr>
        <w:t>a</w:t>
      </w:r>
      <w:r w:rsidRPr="00985B97">
        <w:rPr>
          <w:rFonts w:asciiTheme="majorHAnsi" w:hAnsiTheme="majorHAnsi" w:cstheme="majorHAnsi"/>
        </w:rPr>
        <w:t xml:space="preserve"> transición energética, la Ley de Transición Energética de 2015 y la Ley General de Cambio Climático de 2012 fijaron la meta de 35% de generación eléctrica limpia para 2024. </w:t>
      </w:r>
      <w:r w:rsidR="00235AF1" w:rsidRPr="00985B97">
        <w:rPr>
          <w:rFonts w:asciiTheme="majorHAnsi" w:hAnsiTheme="majorHAnsi" w:cstheme="majorHAnsi"/>
        </w:rPr>
        <w:t>No obstante, e</w:t>
      </w:r>
      <w:r w:rsidRPr="00985B97">
        <w:rPr>
          <w:rFonts w:asciiTheme="majorHAnsi" w:hAnsiTheme="majorHAnsi" w:cstheme="majorHAnsi"/>
        </w:rPr>
        <w:t>sa meta no se cumplió: la generación limpia alcanzó 23,4% según la SENER, mientras el Instituto Mexicano para la Competitividad calculó 22,2% —12,8 puntos por debajo de la meta legal— (</w:t>
      </w:r>
      <w:bookmarkStart w:id="199" w:name="_Hlk234690652"/>
      <w:r w:rsidRPr="00985B97">
        <w:rPr>
          <w:rFonts w:asciiTheme="majorHAnsi" w:hAnsiTheme="majorHAnsi" w:cstheme="majorHAnsi"/>
        </w:rPr>
        <w:t xml:space="preserve">El Economista, 2025; Energy21, 2025). </w:t>
      </w:r>
      <w:bookmarkEnd w:id="199"/>
      <w:r w:rsidR="00235AF1" w:rsidRPr="00985B97">
        <w:rPr>
          <w:rFonts w:asciiTheme="majorHAnsi" w:hAnsiTheme="majorHAnsi" w:cstheme="majorHAnsi"/>
        </w:rPr>
        <w:t>Frente a esto</w:t>
      </w:r>
      <w:r w:rsidRPr="00985B97">
        <w:rPr>
          <w:rFonts w:asciiTheme="majorHAnsi" w:hAnsiTheme="majorHAnsi" w:cstheme="majorHAnsi"/>
        </w:rPr>
        <w:t>, el Plan de Desarrollo del Sector Eléctrico 2025-2039 fijó una meta de 38% para 2030 (</w:t>
      </w:r>
      <w:bookmarkStart w:id="200" w:name="_Hlk234690685"/>
      <w:r w:rsidRPr="00985B97">
        <w:rPr>
          <w:rFonts w:asciiTheme="majorHAnsi" w:hAnsiTheme="majorHAnsi" w:cstheme="majorHAnsi"/>
        </w:rPr>
        <w:t>La Jornada, 2025</w:t>
      </w:r>
      <w:bookmarkEnd w:id="200"/>
      <w:r w:rsidR="00235AF1" w:rsidRPr="00985B97">
        <w:rPr>
          <w:rFonts w:asciiTheme="majorHAnsi" w:hAnsiTheme="majorHAnsi" w:cstheme="majorHAnsi"/>
        </w:rPr>
        <w:t>).</w:t>
      </w:r>
      <w:r w:rsidR="00265FFE" w:rsidRPr="00985B97">
        <w:rPr>
          <w:rFonts w:asciiTheme="majorHAnsi" w:hAnsiTheme="majorHAnsi" w:cstheme="majorHAnsi"/>
        </w:rPr>
        <w:t xml:space="preserve"> </w:t>
      </w:r>
      <w:r w:rsidRPr="00985B97">
        <w:rPr>
          <w:rFonts w:asciiTheme="majorHAnsi" w:hAnsiTheme="majorHAnsi" w:cstheme="majorHAnsi"/>
        </w:rPr>
        <w:t xml:space="preserve">El Energy </w:t>
      </w:r>
      <w:proofErr w:type="spellStart"/>
      <w:r w:rsidRPr="00985B97">
        <w:rPr>
          <w:rFonts w:asciiTheme="majorHAnsi" w:hAnsiTheme="majorHAnsi" w:cstheme="majorHAnsi"/>
        </w:rPr>
        <w:t>Transition</w:t>
      </w:r>
      <w:proofErr w:type="spellEnd"/>
      <w:r w:rsidRPr="00985B97">
        <w:rPr>
          <w:rFonts w:asciiTheme="majorHAnsi" w:hAnsiTheme="majorHAnsi" w:cstheme="majorHAnsi"/>
        </w:rPr>
        <w:t xml:space="preserve"> </w:t>
      </w:r>
      <w:proofErr w:type="spellStart"/>
      <w:r w:rsidRPr="00985B97">
        <w:rPr>
          <w:rFonts w:asciiTheme="majorHAnsi" w:hAnsiTheme="majorHAnsi" w:cstheme="majorHAnsi"/>
        </w:rPr>
        <w:t>Index</w:t>
      </w:r>
      <w:proofErr w:type="spellEnd"/>
      <w:r w:rsidRPr="00985B97">
        <w:rPr>
          <w:rFonts w:asciiTheme="majorHAnsi" w:hAnsiTheme="majorHAnsi" w:cstheme="majorHAnsi"/>
        </w:rPr>
        <w:t xml:space="preserve"> del WEF ubicó a México en el puesto 55 de 118 en 2025 y reportó una nueva caída al puesto 59 de 120 en 2026, por debajo de Brasil (15) y Chile (21)</w:t>
      </w:r>
      <w:r w:rsidR="00235AF1" w:rsidRPr="00985B97">
        <w:rPr>
          <w:rFonts w:asciiTheme="majorHAnsi" w:hAnsiTheme="majorHAnsi" w:cstheme="majorHAnsi"/>
        </w:rPr>
        <w:t xml:space="preserve"> </w:t>
      </w:r>
      <w:r w:rsidRPr="00985B97">
        <w:rPr>
          <w:rFonts w:asciiTheme="majorHAnsi" w:hAnsiTheme="majorHAnsi" w:cstheme="majorHAnsi"/>
        </w:rPr>
        <w:t>(IMER Noticias, 2026</w:t>
      </w:r>
      <w:r w:rsidR="00235AF1" w:rsidRPr="00985B97">
        <w:rPr>
          <w:rFonts w:asciiTheme="majorHAnsi" w:hAnsiTheme="majorHAnsi" w:cstheme="majorHAnsi"/>
        </w:rPr>
        <w:t>).</w:t>
      </w:r>
    </w:p>
    <w:p w14:paraId="71368355" w14:textId="77777777" w:rsidR="0099186C" w:rsidRPr="00985B97" w:rsidRDefault="00622B8B"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lastRenderedPageBreak/>
        <w:t xml:space="preserve">En </w:t>
      </w:r>
      <w:r w:rsidR="0099186C" w:rsidRPr="00985B97">
        <w:rPr>
          <w:rFonts w:asciiTheme="majorHAnsi" w:hAnsiTheme="majorHAnsi" w:cstheme="majorHAnsi"/>
        </w:rPr>
        <w:t xml:space="preserve">cuanto a su </w:t>
      </w:r>
      <w:r w:rsidRPr="00985B97">
        <w:rPr>
          <w:rFonts w:asciiTheme="majorHAnsi" w:hAnsiTheme="majorHAnsi" w:cstheme="majorHAnsi"/>
        </w:rPr>
        <w:t xml:space="preserve">capacidad técnica legislativa, México no cuenta con un órgano único, no partidista </w:t>
      </w:r>
      <w:r w:rsidR="0099186C" w:rsidRPr="00985B97">
        <w:rPr>
          <w:rFonts w:asciiTheme="majorHAnsi" w:hAnsiTheme="majorHAnsi" w:cstheme="majorHAnsi"/>
        </w:rPr>
        <w:t>como</w:t>
      </w:r>
      <w:r w:rsidRPr="00985B97">
        <w:rPr>
          <w:rFonts w:asciiTheme="majorHAnsi" w:hAnsiTheme="majorHAnsi" w:cstheme="majorHAnsi"/>
        </w:rPr>
        <w:t xml:space="preserve"> la BCN chilena o a la CONLE brasileña</w:t>
      </w:r>
      <w:r w:rsidR="0099186C" w:rsidRPr="00985B97">
        <w:rPr>
          <w:rFonts w:asciiTheme="majorHAnsi" w:hAnsiTheme="majorHAnsi" w:cstheme="majorHAnsi"/>
        </w:rPr>
        <w:t>, sino que esta</w:t>
      </w:r>
      <w:r w:rsidRPr="00985B97">
        <w:rPr>
          <w:rFonts w:asciiTheme="majorHAnsi" w:hAnsiTheme="majorHAnsi" w:cstheme="majorHAnsi"/>
        </w:rPr>
        <w:t xml:space="preserve"> función se distribuye entre el Instituto Belisario Domínguez (IBD) del Senado y el Centro de Estudios de Derecho e Investigaciones Parlamentarias (CEDIP) de la Cámara de Diputados, que emite opiniones consultivas</w:t>
      </w:r>
      <w:r w:rsidR="0099186C" w:rsidRPr="00985B97">
        <w:rPr>
          <w:rFonts w:asciiTheme="majorHAnsi" w:hAnsiTheme="majorHAnsi" w:cstheme="majorHAnsi"/>
        </w:rPr>
        <w:t xml:space="preserve">, pero </w:t>
      </w:r>
      <w:r w:rsidRPr="00985B97">
        <w:rPr>
          <w:rFonts w:asciiTheme="majorHAnsi" w:hAnsiTheme="majorHAnsi" w:cstheme="majorHAnsi"/>
        </w:rPr>
        <w:t>no vinculantes</w:t>
      </w:r>
      <w:r w:rsidR="0099186C" w:rsidRPr="00985B97">
        <w:rPr>
          <w:rFonts w:asciiTheme="majorHAnsi" w:hAnsiTheme="majorHAnsi" w:cstheme="majorHAnsi"/>
        </w:rPr>
        <w:t>,</w:t>
      </w:r>
      <w:r w:rsidRPr="00985B97">
        <w:rPr>
          <w:rFonts w:asciiTheme="majorHAnsi" w:hAnsiTheme="majorHAnsi" w:cstheme="majorHAnsi"/>
        </w:rPr>
        <w:t xml:space="preserve"> sobre la calidad técnica de las iniciativas.</w:t>
      </w:r>
    </w:p>
    <w:p w14:paraId="53593EE0" w14:textId="77777777" w:rsidR="0099186C" w:rsidRPr="00985B97" w:rsidRDefault="00622B8B"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Desde el punto de vista teórico, durante la era del partido hegemónico, la subordinación del</w:t>
      </w:r>
      <w:r w:rsidR="0099186C" w:rsidRPr="00985B97">
        <w:rPr>
          <w:rFonts w:asciiTheme="majorHAnsi" w:hAnsiTheme="majorHAnsi" w:cstheme="majorHAnsi"/>
        </w:rPr>
        <w:t xml:space="preserve"> </w:t>
      </w:r>
      <w:r w:rsidRPr="00985B97">
        <w:rPr>
          <w:rFonts w:asciiTheme="majorHAnsi" w:hAnsiTheme="majorHAnsi" w:cstheme="majorHAnsi"/>
        </w:rPr>
        <w:t xml:space="preserve">Congreso al </w:t>
      </w:r>
      <w:r w:rsidR="001D4B0A" w:rsidRPr="00985B97">
        <w:rPr>
          <w:rFonts w:asciiTheme="majorHAnsi" w:hAnsiTheme="majorHAnsi" w:cstheme="majorHAnsi"/>
        </w:rPr>
        <w:t>ejecutivo</w:t>
      </w:r>
      <w:r w:rsidRPr="00985B97">
        <w:rPr>
          <w:rFonts w:asciiTheme="majorHAnsi" w:hAnsiTheme="majorHAnsi" w:cstheme="majorHAnsi"/>
        </w:rPr>
        <w:t xml:space="preserve"> se explicaba</w:t>
      </w:r>
      <w:r w:rsidR="0099186C" w:rsidRPr="00985B97">
        <w:rPr>
          <w:rFonts w:asciiTheme="majorHAnsi" w:hAnsiTheme="majorHAnsi" w:cstheme="majorHAnsi"/>
        </w:rPr>
        <w:t xml:space="preserve"> más</w:t>
      </w:r>
      <w:r w:rsidRPr="00985B97">
        <w:rPr>
          <w:rFonts w:asciiTheme="majorHAnsi" w:hAnsiTheme="majorHAnsi" w:cstheme="majorHAnsi"/>
        </w:rPr>
        <w:t xml:space="preserve"> por factores </w:t>
      </w:r>
      <w:r w:rsidR="0099186C" w:rsidRPr="00985B97">
        <w:rPr>
          <w:rFonts w:asciiTheme="majorHAnsi" w:hAnsiTheme="majorHAnsi" w:cstheme="majorHAnsi"/>
        </w:rPr>
        <w:t xml:space="preserve">no </w:t>
      </w:r>
      <w:r w:rsidRPr="00985B97">
        <w:rPr>
          <w:rFonts w:asciiTheme="majorHAnsi" w:hAnsiTheme="majorHAnsi" w:cstheme="majorHAnsi"/>
        </w:rPr>
        <w:t>constitucionales que por el diseño institucional</w:t>
      </w:r>
      <w:r w:rsidR="0099186C" w:rsidRPr="00985B97">
        <w:rPr>
          <w:rFonts w:asciiTheme="majorHAnsi" w:hAnsiTheme="majorHAnsi" w:cstheme="majorHAnsi"/>
        </w:rPr>
        <w:t xml:space="preserve"> Carpizo (1978), </w:t>
      </w:r>
      <w:proofErr w:type="spellStart"/>
      <w:r w:rsidR="0099186C" w:rsidRPr="00985B97">
        <w:rPr>
          <w:rFonts w:asciiTheme="majorHAnsi" w:hAnsiTheme="majorHAnsi" w:cstheme="majorHAnsi"/>
        </w:rPr>
        <w:t>Weldon</w:t>
      </w:r>
      <w:proofErr w:type="spellEnd"/>
      <w:r w:rsidR="0099186C" w:rsidRPr="00985B97">
        <w:rPr>
          <w:rFonts w:asciiTheme="majorHAnsi" w:hAnsiTheme="majorHAnsi" w:cstheme="majorHAnsi"/>
        </w:rPr>
        <w:t xml:space="preserve"> (1997) y Casar (1996)</w:t>
      </w:r>
      <w:r w:rsidRPr="00985B97">
        <w:rPr>
          <w:rFonts w:asciiTheme="majorHAnsi" w:hAnsiTheme="majorHAnsi" w:cstheme="majorHAnsi"/>
        </w:rPr>
        <w:t xml:space="preserve">. Nacif (2004) analizó cómo, tras el fin del gobierno unificado en 1997, la fuente del cambio en las políticas públicas se trasladó del </w:t>
      </w:r>
      <w:r w:rsidR="001D4B0A" w:rsidRPr="00985B97">
        <w:rPr>
          <w:rFonts w:asciiTheme="majorHAnsi" w:hAnsiTheme="majorHAnsi" w:cstheme="majorHAnsi"/>
        </w:rPr>
        <w:t>ejecutivo</w:t>
      </w:r>
      <w:r w:rsidRPr="00985B97">
        <w:rPr>
          <w:rFonts w:asciiTheme="majorHAnsi" w:hAnsiTheme="majorHAnsi" w:cstheme="majorHAnsi"/>
        </w:rPr>
        <w:t xml:space="preserve"> al Congreso, en </w:t>
      </w:r>
      <w:r w:rsidR="0099186C" w:rsidRPr="00985B97">
        <w:rPr>
          <w:rFonts w:asciiTheme="majorHAnsi" w:hAnsiTheme="majorHAnsi" w:cstheme="majorHAnsi"/>
        </w:rPr>
        <w:t>el</w:t>
      </w:r>
      <w:r w:rsidRPr="00985B97">
        <w:rPr>
          <w:rFonts w:asciiTheme="majorHAnsi" w:hAnsiTheme="majorHAnsi" w:cstheme="majorHAnsi"/>
        </w:rPr>
        <w:t xml:space="preserve"> periodo </w:t>
      </w:r>
      <w:r w:rsidR="0099186C" w:rsidRPr="00985B97">
        <w:rPr>
          <w:rFonts w:asciiTheme="majorHAnsi" w:hAnsiTheme="majorHAnsi" w:cstheme="majorHAnsi"/>
        </w:rPr>
        <w:t>del</w:t>
      </w:r>
      <w:r w:rsidRPr="00985B97">
        <w:rPr>
          <w:rFonts w:asciiTheme="majorHAnsi" w:hAnsiTheme="majorHAnsi" w:cstheme="majorHAnsi"/>
        </w:rPr>
        <w:t xml:space="preserve"> "gobierno dividido" (</w:t>
      </w:r>
      <w:bookmarkStart w:id="201" w:name="_Hlk234690914"/>
      <w:r w:rsidRPr="00985B97">
        <w:rPr>
          <w:rFonts w:asciiTheme="majorHAnsi" w:hAnsiTheme="majorHAnsi" w:cstheme="majorHAnsi"/>
        </w:rPr>
        <w:t xml:space="preserve">Nacif, 2004). </w:t>
      </w:r>
      <w:bookmarkEnd w:id="201"/>
      <w:r w:rsidR="0099186C" w:rsidRPr="00985B97">
        <w:rPr>
          <w:rFonts w:asciiTheme="majorHAnsi" w:hAnsiTheme="majorHAnsi" w:cstheme="majorHAnsi"/>
        </w:rPr>
        <w:t>S</w:t>
      </w:r>
      <w:r w:rsidRPr="00985B97">
        <w:rPr>
          <w:rFonts w:asciiTheme="majorHAnsi" w:hAnsiTheme="majorHAnsi" w:cstheme="majorHAnsi"/>
        </w:rPr>
        <w:t xml:space="preserve">in embargo, el retorno de la mayoría legislativa al </w:t>
      </w:r>
      <w:r w:rsidR="001D4B0A" w:rsidRPr="00985B97">
        <w:rPr>
          <w:rFonts w:asciiTheme="majorHAnsi" w:hAnsiTheme="majorHAnsi" w:cstheme="majorHAnsi"/>
        </w:rPr>
        <w:t>ejecutivo</w:t>
      </w:r>
      <w:r w:rsidRPr="00985B97">
        <w:rPr>
          <w:rFonts w:asciiTheme="majorHAnsi" w:hAnsiTheme="majorHAnsi" w:cstheme="majorHAnsi"/>
        </w:rPr>
        <w:t xml:space="preserve"> a partir de 2018</w:t>
      </w:r>
      <w:r w:rsidR="0099186C" w:rsidRPr="00985B97">
        <w:rPr>
          <w:rFonts w:asciiTheme="majorHAnsi" w:hAnsiTheme="majorHAnsi" w:cstheme="majorHAnsi"/>
        </w:rPr>
        <w:t xml:space="preserve">, </w:t>
      </w:r>
      <w:r w:rsidRPr="00985B97">
        <w:rPr>
          <w:rFonts w:asciiTheme="majorHAnsi" w:hAnsiTheme="majorHAnsi" w:cstheme="majorHAnsi"/>
        </w:rPr>
        <w:t>ampliada con la mayoría calificada de 2024</w:t>
      </w:r>
      <w:r w:rsidR="0099186C" w:rsidRPr="00985B97">
        <w:rPr>
          <w:rFonts w:asciiTheme="majorHAnsi" w:hAnsiTheme="majorHAnsi" w:cstheme="majorHAnsi"/>
        </w:rPr>
        <w:t>,</w:t>
      </w:r>
      <w:r w:rsidRPr="00985B97">
        <w:rPr>
          <w:rFonts w:asciiTheme="majorHAnsi" w:hAnsiTheme="majorHAnsi" w:cstheme="majorHAnsi"/>
        </w:rPr>
        <w:t xml:space="preserve"> no reprodujo el patrón cooperativo del periodo de partido hegemónico, sino</w:t>
      </w:r>
      <w:r w:rsidR="0099186C" w:rsidRPr="00985B97">
        <w:rPr>
          <w:rFonts w:asciiTheme="majorHAnsi" w:hAnsiTheme="majorHAnsi" w:cstheme="majorHAnsi"/>
        </w:rPr>
        <w:t xml:space="preserve"> que sufrió</w:t>
      </w:r>
      <w:r w:rsidRPr="00985B97">
        <w:rPr>
          <w:rFonts w:asciiTheme="majorHAnsi" w:hAnsiTheme="majorHAnsi" w:cstheme="majorHAnsi"/>
        </w:rPr>
        <w:t xml:space="preserve"> una dinámica de "confrontación directa" hacia el Congreso y la Suprema Corte, a pesar de contar con mayorías absolutas en ambas cámaras (</w:t>
      </w:r>
      <w:bookmarkStart w:id="202" w:name="_Hlk234690956"/>
      <w:r w:rsidRPr="00985B97">
        <w:rPr>
          <w:rFonts w:asciiTheme="majorHAnsi" w:hAnsiTheme="majorHAnsi" w:cstheme="majorHAnsi"/>
        </w:rPr>
        <w:t>Foro Internacional, 2025</w:t>
      </w:r>
      <w:bookmarkEnd w:id="202"/>
      <w:r w:rsidRPr="00985B97">
        <w:rPr>
          <w:rFonts w:asciiTheme="majorHAnsi" w:hAnsiTheme="majorHAnsi" w:cstheme="majorHAnsi"/>
        </w:rPr>
        <w:t xml:space="preserve">). </w:t>
      </w:r>
    </w:p>
    <w:p w14:paraId="21CDFFE7" w14:textId="77777777" w:rsidR="00FC408E" w:rsidRPr="00985B97" w:rsidRDefault="0099186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En el caso de México, existen unos </w:t>
      </w:r>
      <w:r w:rsidR="00622B8B" w:rsidRPr="00985B97">
        <w:rPr>
          <w:rFonts w:asciiTheme="majorHAnsi" w:hAnsiTheme="majorHAnsi" w:cstheme="majorHAnsi"/>
        </w:rPr>
        <w:t xml:space="preserve">"veto </w:t>
      </w:r>
      <w:proofErr w:type="spellStart"/>
      <w:r w:rsidR="00622B8B" w:rsidRPr="00985B97">
        <w:rPr>
          <w:rFonts w:asciiTheme="majorHAnsi" w:hAnsiTheme="majorHAnsi" w:cstheme="majorHAnsi"/>
        </w:rPr>
        <w:t>players</w:t>
      </w:r>
      <w:proofErr w:type="spellEnd"/>
      <w:r w:rsidR="00622B8B" w:rsidRPr="00985B97">
        <w:rPr>
          <w:rFonts w:asciiTheme="majorHAnsi" w:hAnsiTheme="majorHAnsi" w:cstheme="majorHAnsi"/>
        </w:rPr>
        <w:t xml:space="preserve"> mínimos"</w:t>
      </w:r>
      <w:r w:rsidRPr="00985B97">
        <w:rPr>
          <w:rFonts w:asciiTheme="majorHAnsi" w:hAnsiTheme="majorHAnsi" w:cstheme="majorHAnsi"/>
        </w:rPr>
        <w:t xml:space="preserve"> (</w:t>
      </w:r>
      <w:proofErr w:type="spellStart"/>
      <w:r w:rsidRPr="00985B97">
        <w:rPr>
          <w:rFonts w:asciiTheme="majorHAnsi" w:hAnsiTheme="majorHAnsi" w:cstheme="majorHAnsi"/>
        </w:rPr>
        <w:t>Tsebelis</w:t>
      </w:r>
      <w:proofErr w:type="spellEnd"/>
      <w:r w:rsidRPr="00985B97">
        <w:rPr>
          <w:rFonts w:asciiTheme="majorHAnsi" w:hAnsiTheme="majorHAnsi" w:cstheme="majorHAnsi"/>
        </w:rPr>
        <w:t>, 2002),</w:t>
      </w:r>
      <w:r w:rsidR="00622B8B" w:rsidRPr="00985B97">
        <w:rPr>
          <w:rFonts w:asciiTheme="majorHAnsi" w:hAnsiTheme="majorHAnsi" w:cstheme="majorHAnsi"/>
        </w:rPr>
        <w:t xml:space="preserve"> </w:t>
      </w:r>
      <w:r w:rsidRPr="00985B97">
        <w:rPr>
          <w:rFonts w:asciiTheme="majorHAnsi" w:hAnsiTheme="majorHAnsi" w:cstheme="majorHAnsi"/>
        </w:rPr>
        <w:t xml:space="preserve">donde </w:t>
      </w:r>
      <w:r w:rsidR="00622B8B" w:rsidRPr="00985B97">
        <w:rPr>
          <w:rFonts w:asciiTheme="majorHAnsi" w:hAnsiTheme="majorHAnsi" w:cstheme="majorHAnsi"/>
        </w:rPr>
        <w:t xml:space="preserve">la capacidad legislativa del </w:t>
      </w:r>
      <w:r w:rsidR="001D4B0A" w:rsidRPr="00985B97">
        <w:rPr>
          <w:rFonts w:asciiTheme="majorHAnsi" w:hAnsiTheme="majorHAnsi" w:cstheme="majorHAnsi"/>
        </w:rPr>
        <w:t>ejecutivo</w:t>
      </w:r>
      <w:r w:rsidR="00622B8B" w:rsidRPr="00985B97">
        <w:rPr>
          <w:rFonts w:asciiTheme="majorHAnsi" w:hAnsiTheme="majorHAnsi" w:cstheme="majorHAnsi"/>
        </w:rPr>
        <w:t xml:space="preserve"> no depende de la negociación programática sostenida, sino de la disciplina interna de una coalición dominante, lo cual acelera la aprobación normativa sin garantizar, </w:t>
      </w:r>
      <w:r w:rsidRPr="00985B97">
        <w:rPr>
          <w:rFonts w:asciiTheme="majorHAnsi" w:hAnsiTheme="majorHAnsi" w:cstheme="majorHAnsi"/>
        </w:rPr>
        <w:t xml:space="preserve">hasta ahora, </w:t>
      </w:r>
      <w:r w:rsidR="00622B8B" w:rsidRPr="00985B97">
        <w:rPr>
          <w:rFonts w:asciiTheme="majorHAnsi" w:hAnsiTheme="majorHAnsi" w:cstheme="majorHAnsi"/>
        </w:rPr>
        <w:t>el cumplimiento de las metas de energía limpia</w:t>
      </w:r>
      <w:r w:rsidRPr="00985B97">
        <w:rPr>
          <w:rFonts w:asciiTheme="majorHAnsi" w:hAnsiTheme="majorHAnsi" w:cstheme="majorHAnsi"/>
        </w:rPr>
        <w:t xml:space="preserve"> o</w:t>
      </w:r>
      <w:r w:rsidR="00622B8B" w:rsidRPr="00985B97">
        <w:rPr>
          <w:rFonts w:asciiTheme="majorHAnsi" w:hAnsiTheme="majorHAnsi" w:cstheme="majorHAnsi"/>
        </w:rPr>
        <w:t xml:space="preserve"> una implementación más efectiva de la transición energética justa.</w:t>
      </w:r>
    </w:p>
    <w:p w14:paraId="76DF034D" w14:textId="77777777" w:rsidR="00CD0C90" w:rsidRPr="00985B97" w:rsidRDefault="00CD0C90" w:rsidP="00985B97">
      <w:pPr>
        <w:spacing w:after="0"/>
        <w:jc w:val="both"/>
        <w:rPr>
          <w:rFonts w:asciiTheme="majorHAnsi" w:hAnsiTheme="majorHAnsi" w:cstheme="majorHAnsi"/>
        </w:rPr>
      </w:pPr>
    </w:p>
    <w:p w14:paraId="648E9EA0" w14:textId="77777777" w:rsidR="00CD0C90" w:rsidRPr="00985B97" w:rsidRDefault="00D111B6" w:rsidP="00985B97">
      <w:pPr>
        <w:spacing w:after="0"/>
        <w:jc w:val="both"/>
        <w:rPr>
          <w:rFonts w:asciiTheme="majorHAnsi" w:hAnsiTheme="majorHAnsi" w:cstheme="majorHAnsi"/>
        </w:rPr>
      </w:pPr>
      <w:r w:rsidRPr="00985B97">
        <w:rPr>
          <w:rFonts w:asciiTheme="majorHAnsi" w:hAnsiTheme="majorHAnsi" w:cstheme="majorHAnsi"/>
          <w:b/>
          <w:bCs/>
        </w:rPr>
        <w:t>Tabla 3.</w:t>
      </w:r>
    </w:p>
    <w:p w14:paraId="4E68517E" w14:textId="77777777" w:rsidR="00D111B6" w:rsidRPr="00985B97" w:rsidRDefault="00D111B6" w:rsidP="00985B97">
      <w:pPr>
        <w:spacing w:after="240"/>
        <w:jc w:val="both"/>
        <w:rPr>
          <w:rFonts w:asciiTheme="majorHAnsi" w:hAnsiTheme="majorHAnsi" w:cstheme="majorHAnsi"/>
        </w:rPr>
      </w:pPr>
      <w:r w:rsidRPr="00985B97">
        <w:rPr>
          <w:rFonts w:asciiTheme="majorHAnsi" w:hAnsiTheme="majorHAnsi" w:cstheme="majorHAnsi"/>
        </w:rPr>
        <w:t xml:space="preserve">Comparación de la dinámica </w:t>
      </w:r>
      <w:r w:rsidR="001D4B0A" w:rsidRPr="00985B97">
        <w:rPr>
          <w:rFonts w:asciiTheme="majorHAnsi" w:hAnsiTheme="majorHAnsi" w:cstheme="majorHAnsi"/>
        </w:rPr>
        <w:t>legislativo</w:t>
      </w:r>
      <w:r w:rsidRPr="00985B97">
        <w:rPr>
          <w:rFonts w:asciiTheme="majorHAnsi" w:hAnsiTheme="majorHAnsi" w:cstheme="majorHAnsi"/>
        </w:rPr>
        <w:t>-</w:t>
      </w:r>
      <w:r w:rsidR="001D4B0A" w:rsidRPr="00985B97">
        <w:rPr>
          <w:rFonts w:asciiTheme="majorHAnsi" w:hAnsiTheme="majorHAnsi" w:cstheme="majorHAnsi"/>
        </w:rPr>
        <w:t>ejecutivo</w:t>
      </w:r>
      <w:r w:rsidRPr="00985B97">
        <w:rPr>
          <w:rFonts w:asciiTheme="majorHAnsi" w:hAnsiTheme="majorHAnsi" w:cstheme="majorHAnsi"/>
        </w:rPr>
        <w:t xml:space="preserve"> en materia energética: Colombia y México</w:t>
      </w:r>
    </w:p>
    <w:tbl>
      <w:tblPr>
        <w:tblStyle w:val="Tablaconcuadrcula2-nfasis6"/>
        <w:tblW w:w="9360" w:type="dxa"/>
        <w:tblLook w:val="04A0" w:firstRow="1" w:lastRow="0" w:firstColumn="1" w:lastColumn="0" w:noHBand="0" w:noVBand="1"/>
      </w:tblPr>
      <w:tblGrid>
        <w:gridCol w:w="1980"/>
        <w:gridCol w:w="1706"/>
        <w:gridCol w:w="3334"/>
        <w:gridCol w:w="2340"/>
      </w:tblGrid>
      <w:tr w:rsidR="00D111B6" w:rsidRPr="00985B97" w14:paraId="68BB134B" w14:textId="77777777" w:rsidTr="00CD0C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130B21CC" w14:textId="77777777" w:rsidR="00D111B6" w:rsidRPr="00985B97" w:rsidRDefault="00D111B6" w:rsidP="00985B97">
            <w:pPr>
              <w:jc w:val="center"/>
              <w:rPr>
                <w:rFonts w:asciiTheme="majorHAnsi" w:hAnsiTheme="majorHAnsi" w:cstheme="majorHAnsi"/>
              </w:rPr>
            </w:pPr>
            <w:r w:rsidRPr="00985B97">
              <w:rPr>
                <w:rFonts w:asciiTheme="majorHAnsi" w:hAnsiTheme="majorHAnsi" w:cstheme="majorHAnsi"/>
              </w:rPr>
              <w:t>Dimensión</w:t>
            </w:r>
          </w:p>
        </w:tc>
        <w:tc>
          <w:tcPr>
            <w:tcW w:w="1706" w:type="dxa"/>
            <w:vAlign w:val="center"/>
          </w:tcPr>
          <w:p w14:paraId="2D1C4C7A" w14:textId="77777777" w:rsidR="00D111B6" w:rsidRPr="00985B97" w:rsidRDefault="00D111B6" w:rsidP="00985B97">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Colombia</w:t>
            </w:r>
          </w:p>
        </w:tc>
        <w:tc>
          <w:tcPr>
            <w:tcW w:w="3334" w:type="dxa"/>
            <w:vAlign w:val="center"/>
          </w:tcPr>
          <w:p w14:paraId="31AEB518" w14:textId="77777777" w:rsidR="00D111B6" w:rsidRPr="00985B97" w:rsidRDefault="00D111B6" w:rsidP="00985B97">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México</w:t>
            </w:r>
          </w:p>
        </w:tc>
        <w:tc>
          <w:tcPr>
            <w:tcW w:w="2340" w:type="dxa"/>
            <w:vAlign w:val="center"/>
          </w:tcPr>
          <w:p w14:paraId="16662C38" w14:textId="77777777" w:rsidR="00D111B6" w:rsidRPr="00985B97" w:rsidRDefault="00D111B6" w:rsidP="00985B97">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Implicación para la TEJ</w:t>
            </w:r>
          </w:p>
        </w:tc>
      </w:tr>
      <w:tr w:rsidR="00D111B6" w:rsidRPr="00985B97" w14:paraId="619885DA" w14:textId="77777777" w:rsidTr="00CD0C90">
        <w:trPr>
          <w:cnfStyle w:val="000000100000" w:firstRow="0" w:lastRow="0" w:firstColumn="0" w:lastColumn="0" w:oddVBand="0" w:evenVBand="0" w:oddHBand="1" w:evenHBand="0" w:firstRowFirstColumn="0" w:firstRowLastColumn="0" w:lastRowFirstColumn="0" w:lastRowLastColumn="0"/>
          <w:trHeight w:val="1687"/>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6BE011DD" w14:textId="77777777" w:rsidR="00D111B6" w:rsidRPr="00985B97" w:rsidRDefault="00D111B6" w:rsidP="00985B97">
            <w:pPr>
              <w:jc w:val="center"/>
              <w:rPr>
                <w:rFonts w:asciiTheme="majorHAnsi" w:hAnsiTheme="majorHAnsi" w:cstheme="majorHAnsi"/>
              </w:rPr>
            </w:pPr>
            <w:r w:rsidRPr="00985B97">
              <w:rPr>
                <w:rFonts w:asciiTheme="majorHAnsi" w:hAnsiTheme="majorHAnsi" w:cstheme="majorHAnsi"/>
              </w:rPr>
              <w:t>Fragmentación partidaria</w:t>
            </w:r>
          </w:p>
        </w:tc>
        <w:tc>
          <w:tcPr>
            <w:tcW w:w="1706" w:type="dxa"/>
            <w:vAlign w:val="center"/>
          </w:tcPr>
          <w:p w14:paraId="0E1A4186" w14:textId="77777777" w:rsidR="00D111B6" w:rsidRPr="00985B97" w:rsidRDefault="00D111B6"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Alta, sin mecanismo estable de agregación de preferencias</w:t>
            </w:r>
          </w:p>
        </w:tc>
        <w:tc>
          <w:tcPr>
            <w:tcW w:w="3334" w:type="dxa"/>
            <w:vAlign w:val="center"/>
          </w:tcPr>
          <w:p w14:paraId="20507D6F" w14:textId="77777777" w:rsidR="00D111B6" w:rsidRPr="00985B97" w:rsidRDefault="00D111B6"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Prácticamente eliminada desde 2024 por la mayoría calificada de la coalición "Sigamos Haciendo Historia" (72,8% de la Cámara de Diputados)</w:t>
            </w:r>
          </w:p>
        </w:tc>
        <w:tc>
          <w:tcPr>
            <w:tcW w:w="2340" w:type="dxa"/>
            <w:vAlign w:val="center"/>
          </w:tcPr>
          <w:p w14:paraId="4AE8D74D" w14:textId="77777777" w:rsidR="00D111B6" w:rsidRPr="00985B97" w:rsidRDefault="00D111B6"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México: la ausencia de fragmentación no garantizó mejores resultados sustantivos</w:t>
            </w:r>
          </w:p>
        </w:tc>
      </w:tr>
      <w:tr w:rsidR="00D111B6" w:rsidRPr="00985B97" w14:paraId="4B96ACC6" w14:textId="77777777" w:rsidTr="00CD0C90">
        <w:trPr>
          <w:trHeight w:val="1706"/>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3353F714" w14:textId="77777777" w:rsidR="00D111B6" w:rsidRPr="00985B97" w:rsidRDefault="00D111B6" w:rsidP="00985B97">
            <w:pPr>
              <w:jc w:val="center"/>
              <w:rPr>
                <w:rFonts w:asciiTheme="majorHAnsi" w:hAnsiTheme="majorHAnsi" w:cstheme="majorHAnsi"/>
              </w:rPr>
            </w:pPr>
            <w:proofErr w:type="spellStart"/>
            <w:r w:rsidRPr="00985B97">
              <w:rPr>
                <w:rFonts w:asciiTheme="majorHAnsi" w:hAnsiTheme="majorHAnsi" w:cstheme="majorHAnsi"/>
              </w:rPr>
              <w:lastRenderedPageBreak/>
              <w:t>Gatekeeping</w:t>
            </w:r>
            <w:proofErr w:type="spellEnd"/>
            <w:r w:rsidRPr="00985B97">
              <w:rPr>
                <w:rFonts w:asciiTheme="majorHAnsi" w:hAnsiTheme="majorHAnsi" w:cstheme="majorHAnsi"/>
              </w:rPr>
              <w:t xml:space="preserve"> legislativo</w:t>
            </w:r>
          </w:p>
        </w:tc>
        <w:tc>
          <w:tcPr>
            <w:tcW w:w="1706" w:type="dxa"/>
            <w:vAlign w:val="center"/>
          </w:tcPr>
          <w:p w14:paraId="373A8FE9" w14:textId="77777777" w:rsidR="00D111B6" w:rsidRPr="00985B97" w:rsidRDefault="00D111B6" w:rsidP="00985B97">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Concentrado en Comisión Quinta de Senado y Sexta de Cámara</w:t>
            </w:r>
          </w:p>
        </w:tc>
        <w:tc>
          <w:tcPr>
            <w:tcW w:w="3334" w:type="dxa"/>
            <w:vAlign w:val="center"/>
          </w:tcPr>
          <w:p w14:paraId="5CAFA8B9" w14:textId="77777777" w:rsidR="00D111B6" w:rsidRPr="00985B97" w:rsidRDefault="00D111B6" w:rsidP="00985B97">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Mínimo: reforma constitucional y ocho leyes secundarias aprobadas en menos de cinco meses (octubre de 2024 a marzo de 2025)</w:t>
            </w:r>
          </w:p>
        </w:tc>
        <w:tc>
          <w:tcPr>
            <w:tcW w:w="2340" w:type="dxa"/>
            <w:vAlign w:val="center"/>
          </w:tcPr>
          <w:p w14:paraId="59E89B32" w14:textId="77777777" w:rsidR="00D111B6" w:rsidRPr="00985B97" w:rsidRDefault="00D111B6" w:rsidP="00985B97">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México: mayor velocidad normativa, menor deliberación</w:t>
            </w:r>
          </w:p>
        </w:tc>
      </w:tr>
      <w:tr w:rsidR="00D111B6" w:rsidRPr="00985B97" w14:paraId="61764082" w14:textId="77777777" w:rsidTr="00CD0C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6E6EF913" w14:textId="77777777" w:rsidR="00D111B6" w:rsidRPr="00985B97" w:rsidRDefault="00D111B6" w:rsidP="00985B97">
            <w:pPr>
              <w:jc w:val="center"/>
              <w:rPr>
                <w:rFonts w:asciiTheme="majorHAnsi" w:hAnsiTheme="majorHAnsi" w:cstheme="majorHAnsi"/>
              </w:rPr>
            </w:pPr>
            <w:r w:rsidRPr="00985B97">
              <w:rPr>
                <w:rFonts w:asciiTheme="majorHAnsi" w:hAnsiTheme="majorHAnsi" w:cstheme="majorHAnsi"/>
              </w:rPr>
              <w:t>Capacidad técnica legislativa</w:t>
            </w:r>
          </w:p>
        </w:tc>
        <w:tc>
          <w:tcPr>
            <w:tcW w:w="1706" w:type="dxa"/>
            <w:vAlign w:val="center"/>
          </w:tcPr>
          <w:p w14:paraId="3256433E" w14:textId="77777777" w:rsidR="00D111B6" w:rsidRPr="00985B97" w:rsidRDefault="00D111B6"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UTL individuales, no especializadas</w:t>
            </w:r>
          </w:p>
        </w:tc>
        <w:tc>
          <w:tcPr>
            <w:tcW w:w="3334" w:type="dxa"/>
            <w:vAlign w:val="center"/>
          </w:tcPr>
          <w:p w14:paraId="325E6662" w14:textId="77777777" w:rsidR="00D111B6" w:rsidRPr="00985B97" w:rsidRDefault="00D111B6"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IBD (Senado) y CEDIP (Diputados), de carácter consultivo no vinculante; el peso técnico dominante recayó en la SENER</w:t>
            </w:r>
          </w:p>
        </w:tc>
        <w:tc>
          <w:tcPr>
            <w:tcW w:w="2340" w:type="dxa"/>
            <w:vAlign w:val="center"/>
          </w:tcPr>
          <w:p w14:paraId="6A8A94AA" w14:textId="77777777" w:rsidR="00D111B6" w:rsidRPr="00985B97" w:rsidRDefault="00D111B6"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México: persiste asimetría de información a pesar de la mayoría legislativa</w:t>
            </w:r>
          </w:p>
        </w:tc>
      </w:tr>
      <w:tr w:rsidR="00D111B6" w:rsidRPr="00985B97" w14:paraId="1E1CDC91" w14:textId="77777777" w:rsidTr="00CD0C90">
        <w:tc>
          <w:tcPr>
            <w:cnfStyle w:val="001000000000" w:firstRow="0" w:lastRow="0" w:firstColumn="1" w:lastColumn="0" w:oddVBand="0" w:evenVBand="0" w:oddHBand="0" w:evenHBand="0" w:firstRowFirstColumn="0" w:firstRowLastColumn="0" w:lastRowFirstColumn="0" w:lastRowLastColumn="0"/>
            <w:tcW w:w="1980" w:type="dxa"/>
            <w:vAlign w:val="center"/>
          </w:tcPr>
          <w:p w14:paraId="109593A5" w14:textId="77777777" w:rsidR="00D111B6" w:rsidRPr="00985B97" w:rsidRDefault="00D111B6" w:rsidP="00985B97">
            <w:pPr>
              <w:jc w:val="center"/>
              <w:rPr>
                <w:rFonts w:asciiTheme="majorHAnsi" w:hAnsiTheme="majorHAnsi" w:cstheme="majorHAnsi"/>
              </w:rPr>
            </w:pPr>
            <w:r w:rsidRPr="00985B97">
              <w:rPr>
                <w:rFonts w:asciiTheme="majorHAnsi" w:hAnsiTheme="majorHAnsi" w:cstheme="majorHAnsi"/>
              </w:rPr>
              <w:t>Mecanismo de negociación de recursos</w:t>
            </w:r>
          </w:p>
        </w:tc>
        <w:tc>
          <w:tcPr>
            <w:tcW w:w="1706" w:type="dxa"/>
            <w:vAlign w:val="center"/>
          </w:tcPr>
          <w:p w14:paraId="554DE14E" w14:textId="77777777" w:rsidR="00D111B6" w:rsidRPr="00985B97" w:rsidRDefault="00D111B6" w:rsidP="00985B97">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Ad hoc, sujeto a relaciones personales</w:t>
            </w:r>
          </w:p>
        </w:tc>
        <w:tc>
          <w:tcPr>
            <w:tcW w:w="3334" w:type="dxa"/>
            <w:vAlign w:val="center"/>
          </w:tcPr>
          <w:p w14:paraId="27C9484D" w14:textId="77777777" w:rsidR="00D111B6" w:rsidRPr="00985B97" w:rsidRDefault="00D111B6" w:rsidP="00985B97">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Sustituido por la disciplina interna de la coalición dominante, sin mecanismo distributivo institucionalizado</w:t>
            </w:r>
          </w:p>
        </w:tc>
        <w:tc>
          <w:tcPr>
            <w:tcW w:w="2340" w:type="dxa"/>
            <w:vAlign w:val="center"/>
          </w:tcPr>
          <w:p w14:paraId="6FE77914" w14:textId="77777777" w:rsidR="00D111B6" w:rsidRPr="00985B97" w:rsidRDefault="00D111B6" w:rsidP="00985B97">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México: la disciplina de bloque reemplaza la negociación programática</w:t>
            </w:r>
          </w:p>
        </w:tc>
      </w:tr>
      <w:tr w:rsidR="00D111B6" w:rsidRPr="00985B97" w14:paraId="6BD508F1" w14:textId="77777777" w:rsidTr="00CD0C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54467A85" w14:textId="77777777" w:rsidR="00D111B6" w:rsidRPr="00985B97" w:rsidRDefault="00D111B6" w:rsidP="00985B97">
            <w:pPr>
              <w:jc w:val="center"/>
              <w:rPr>
                <w:rFonts w:asciiTheme="majorHAnsi" w:hAnsiTheme="majorHAnsi" w:cstheme="majorHAnsi"/>
              </w:rPr>
            </w:pPr>
            <w:r w:rsidRPr="00985B97">
              <w:rPr>
                <w:rFonts w:asciiTheme="majorHAnsi" w:hAnsiTheme="majorHAnsi" w:cstheme="majorHAnsi"/>
              </w:rPr>
              <w:t>Espacio de construcción de consenso previo</w:t>
            </w:r>
          </w:p>
        </w:tc>
        <w:tc>
          <w:tcPr>
            <w:tcW w:w="1706" w:type="dxa"/>
            <w:vAlign w:val="center"/>
          </w:tcPr>
          <w:p w14:paraId="2ED723F9" w14:textId="77777777" w:rsidR="00D111B6" w:rsidRPr="00985B97" w:rsidRDefault="00D111B6"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Inexistente para energía</w:t>
            </w:r>
          </w:p>
        </w:tc>
        <w:tc>
          <w:tcPr>
            <w:tcW w:w="3334" w:type="dxa"/>
            <w:vAlign w:val="center"/>
          </w:tcPr>
          <w:p w14:paraId="0E8BD144" w14:textId="77777777" w:rsidR="00D111B6" w:rsidRPr="00985B97" w:rsidRDefault="00D111B6"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Inexistente; el diseño técnico de las leyes secundarias se concentró en el "libro blanco" de la SENER</w:t>
            </w:r>
          </w:p>
        </w:tc>
        <w:tc>
          <w:tcPr>
            <w:tcW w:w="2340" w:type="dxa"/>
            <w:vAlign w:val="center"/>
          </w:tcPr>
          <w:p w14:paraId="24E7CDF5" w14:textId="77777777" w:rsidR="00D111B6" w:rsidRPr="00985B97" w:rsidRDefault="00D111B6" w:rsidP="00985B97">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rPr>
              <w:t>México: el consenso se sustituye por mayoría, no se construye institucionalmente</w:t>
            </w:r>
          </w:p>
        </w:tc>
      </w:tr>
    </w:tbl>
    <w:p w14:paraId="66C4F6B1" w14:textId="77777777" w:rsidR="00D111B6" w:rsidRPr="00985B97" w:rsidRDefault="00D111B6"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Fuente: Elaboración propia. Basado en Nacif (2004) y </w:t>
      </w:r>
      <w:proofErr w:type="spellStart"/>
      <w:r w:rsidRPr="00985B97">
        <w:rPr>
          <w:rFonts w:asciiTheme="majorHAnsi" w:hAnsiTheme="majorHAnsi" w:cstheme="majorHAnsi"/>
        </w:rPr>
        <w:t>Tsebelis</w:t>
      </w:r>
      <w:proofErr w:type="spellEnd"/>
      <w:r w:rsidRPr="00985B97">
        <w:rPr>
          <w:rFonts w:asciiTheme="majorHAnsi" w:hAnsiTheme="majorHAnsi" w:cstheme="majorHAnsi"/>
        </w:rPr>
        <w:t xml:space="preserve"> (2002).</w:t>
      </w:r>
    </w:p>
    <w:p w14:paraId="2D38C8EE" w14:textId="77777777" w:rsidR="00622B8B" w:rsidRPr="00985B97" w:rsidRDefault="0099186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Para este caso,</w:t>
      </w:r>
      <w:r w:rsidR="00622B8B" w:rsidRPr="00985B97">
        <w:rPr>
          <w:rFonts w:asciiTheme="majorHAnsi" w:hAnsiTheme="majorHAnsi" w:cstheme="majorHAnsi"/>
        </w:rPr>
        <w:t xml:space="preserve"> mientras Brasil combina </w:t>
      </w:r>
      <w:r w:rsidRPr="00985B97">
        <w:rPr>
          <w:rFonts w:asciiTheme="majorHAnsi" w:hAnsiTheme="majorHAnsi" w:cstheme="majorHAnsi"/>
        </w:rPr>
        <w:t xml:space="preserve">una </w:t>
      </w:r>
      <w:r w:rsidR="00622B8B" w:rsidRPr="00985B97">
        <w:rPr>
          <w:rFonts w:asciiTheme="majorHAnsi" w:hAnsiTheme="majorHAnsi" w:cstheme="majorHAnsi"/>
        </w:rPr>
        <w:t xml:space="preserve">fragmentación partidaria con mecanismos institucionalizados de agregación de preferencias, y Chile </w:t>
      </w:r>
      <w:r w:rsidRPr="00985B97">
        <w:rPr>
          <w:rFonts w:asciiTheme="majorHAnsi" w:hAnsiTheme="majorHAnsi" w:cstheme="majorHAnsi"/>
        </w:rPr>
        <w:t>presenta una</w:t>
      </w:r>
      <w:r w:rsidR="00622B8B" w:rsidRPr="00985B97">
        <w:rPr>
          <w:rFonts w:asciiTheme="majorHAnsi" w:hAnsiTheme="majorHAnsi" w:cstheme="majorHAnsi"/>
        </w:rPr>
        <w:t xml:space="preserve"> fragmentación con capacidad técnica legislativa autónoma, México </w:t>
      </w:r>
      <w:r w:rsidRPr="00985B97">
        <w:rPr>
          <w:rFonts w:asciiTheme="majorHAnsi" w:hAnsiTheme="majorHAnsi" w:cstheme="majorHAnsi"/>
        </w:rPr>
        <w:t>ha resuelto las tensiones de</w:t>
      </w:r>
      <w:r w:rsidR="00622B8B" w:rsidRPr="00985B97">
        <w:rPr>
          <w:rFonts w:asciiTheme="majorHAnsi" w:hAnsiTheme="majorHAnsi" w:cstheme="majorHAnsi"/>
        </w:rPr>
        <w:t xml:space="preserve"> la relación </w:t>
      </w:r>
      <w:r w:rsidR="001D4B0A" w:rsidRPr="00985B97">
        <w:rPr>
          <w:rFonts w:asciiTheme="majorHAnsi" w:hAnsiTheme="majorHAnsi" w:cstheme="majorHAnsi"/>
        </w:rPr>
        <w:t>ejecutivo</w:t>
      </w:r>
      <w:r w:rsidR="00622B8B" w:rsidRPr="00985B97">
        <w:rPr>
          <w:rFonts w:asciiTheme="majorHAnsi" w:hAnsiTheme="majorHAnsi" w:cstheme="majorHAnsi"/>
        </w:rPr>
        <w:t>-</w:t>
      </w:r>
      <w:r w:rsidR="001D4B0A" w:rsidRPr="00985B97">
        <w:rPr>
          <w:rFonts w:asciiTheme="majorHAnsi" w:hAnsiTheme="majorHAnsi" w:cstheme="majorHAnsi"/>
        </w:rPr>
        <w:t>legislativo</w:t>
      </w:r>
      <w:r w:rsidR="00622B8B" w:rsidRPr="00985B97">
        <w:rPr>
          <w:rFonts w:asciiTheme="majorHAnsi" w:hAnsiTheme="majorHAnsi" w:cstheme="majorHAnsi"/>
        </w:rPr>
        <w:t xml:space="preserve"> eliminando la fragmentación mediante una mayoría calificada disciplinada, sin que </w:t>
      </w:r>
      <w:r w:rsidRPr="00985B97">
        <w:rPr>
          <w:rFonts w:asciiTheme="majorHAnsi" w:hAnsiTheme="majorHAnsi" w:cstheme="majorHAnsi"/>
        </w:rPr>
        <w:t>esto</w:t>
      </w:r>
      <w:r w:rsidR="00622B8B" w:rsidRPr="00985B97">
        <w:rPr>
          <w:rFonts w:asciiTheme="majorHAnsi" w:hAnsiTheme="majorHAnsi" w:cstheme="majorHAnsi"/>
        </w:rPr>
        <w:t xml:space="preserve"> se tradujera en mejores resultados </w:t>
      </w:r>
      <w:r w:rsidRPr="00985B97">
        <w:rPr>
          <w:rFonts w:asciiTheme="majorHAnsi" w:hAnsiTheme="majorHAnsi" w:cstheme="majorHAnsi"/>
        </w:rPr>
        <w:t>para la</w:t>
      </w:r>
      <w:r w:rsidR="00622B8B" w:rsidRPr="00985B97">
        <w:rPr>
          <w:rFonts w:asciiTheme="majorHAnsi" w:hAnsiTheme="majorHAnsi" w:cstheme="majorHAnsi"/>
        </w:rPr>
        <w:t xml:space="preserve"> transición energética. </w:t>
      </w:r>
      <w:r w:rsidRPr="00985B97">
        <w:rPr>
          <w:rFonts w:asciiTheme="majorHAnsi" w:hAnsiTheme="majorHAnsi" w:cstheme="majorHAnsi"/>
        </w:rPr>
        <w:t>Lo que muestra que la</w:t>
      </w:r>
      <w:r w:rsidR="00622B8B" w:rsidRPr="00985B97">
        <w:rPr>
          <w:rFonts w:asciiTheme="majorHAnsi" w:hAnsiTheme="majorHAnsi" w:cstheme="majorHAnsi"/>
        </w:rPr>
        <w:t xml:space="preserve"> sola construcción de mayorías legislativas amplias </w:t>
      </w:r>
      <w:r w:rsidRPr="00985B97">
        <w:rPr>
          <w:rFonts w:asciiTheme="majorHAnsi" w:hAnsiTheme="majorHAnsi" w:cstheme="majorHAnsi"/>
        </w:rPr>
        <w:t>podría resolver los problemas de fondo del relacionamiento, es decir,</w:t>
      </w:r>
      <w:r w:rsidR="00622B8B" w:rsidRPr="00985B97">
        <w:rPr>
          <w:rFonts w:asciiTheme="majorHAnsi" w:hAnsiTheme="majorHAnsi" w:cstheme="majorHAnsi"/>
        </w:rPr>
        <w:t xml:space="preserve"> la ausencia de análisis estratégico legislativo especializado que permita anticipar, y no solo tramitar más rápido, los efectos regulatorios de la política energética</w:t>
      </w:r>
      <w:r w:rsidRPr="00985B97">
        <w:rPr>
          <w:rFonts w:asciiTheme="majorHAnsi" w:hAnsiTheme="majorHAnsi" w:cstheme="majorHAnsi"/>
        </w:rPr>
        <w:t xml:space="preserve">, </w:t>
      </w:r>
      <w:proofErr w:type="gramStart"/>
      <w:r w:rsidRPr="00985B97">
        <w:rPr>
          <w:rFonts w:asciiTheme="majorHAnsi" w:hAnsiTheme="majorHAnsi" w:cstheme="majorHAnsi"/>
        </w:rPr>
        <w:t>y</w:t>
      </w:r>
      <w:proofErr w:type="gramEnd"/>
      <w:r w:rsidRPr="00985B97">
        <w:rPr>
          <w:rFonts w:asciiTheme="majorHAnsi" w:hAnsiTheme="majorHAnsi" w:cstheme="majorHAnsi"/>
        </w:rPr>
        <w:t xml:space="preserve"> sin embargo, no</w:t>
      </w:r>
      <w:r w:rsidR="00E21F8A" w:rsidRPr="00985B97">
        <w:rPr>
          <w:rFonts w:asciiTheme="majorHAnsi" w:hAnsiTheme="majorHAnsi" w:cstheme="majorHAnsi"/>
        </w:rPr>
        <w:t xml:space="preserve"> implicaría, necesariamente, un avance significativo en el objetivo de la TEJ.</w:t>
      </w:r>
    </w:p>
    <w:p w14:paraId="76812A20" w14:textId="77777777" w:rsidR="00FF7AC3" w:rsidRPr="00985B97" w:rsidRDefault="00E63C4F" w:rsidP="00985B97">
      <w:pPr>
        <w:pStyle w:val="Ttulo3"/>
        <w:rPr>
          <w:rFonts w:asciiTheme="majorHAnsi" w:hAnsiTheme="majorHAnsi" w:cstheme="majorHAnsi"/>
          <w:sz w:val="22"/>
          <w:szCs w:val="22"/>
        </w:rPr>
      </w:pPr>
      <w:bookmarkStart w:id="203" w:name="_Toc235092575"/>
      <w:bookmarkStart w:id="204" w:name="_Toc235108019"/>
      <w:r w:rsidRPr="00985B97">
        <w:rPr>
          <w:rFonts w:asciiTheme="majorHAnsi" w:hAnsiTheme="majorHAnsi" w:cstheme="majorHAnsi"/>
          <w:sz w:val="22"/>
          <w:szCs w:val="22"/>
        </w:rPr>
        <w:lastRenderedPageBreak/>
        <w:t>2.2</w:t>
      </w:r>
      <w:r w:rsidR="00FF7AC3" w:rsidRPr="00985B97">
        <w:rPr>
          <w:rFonts w:asciiTheme="majorHAnsi" w:hAnsiTheme="majorHAnsi" w:cstheme="majorHAnsi"/>
          <w:sz w:val="22"/>
          <w:szCs w:val="22"/>
        </w:rPr>
        <w:t xml:space="preserve"> Lecciones para el caso colombiano</w:t>
      </w:r>
      <w:bookmarkEnd w:id="203"/>
      <w:bookmarkEnd w:id="204"/>
    </w:p>
    <w:p w14:paraId="5439FB65" w14:textId="77777777" w:rsidR="00FF7AC3" w:rsidRPr="00985B97" w:rsidRDefault="00FF7AC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El análisis comparativo demuestra que la capacidad de Colombia para avanzar en su Transición Energética Justa está directamente relacionada con la calidad de la relación institucional entre su poder ejecutivo y su poder legislativo. </w:t>
      </w:r>
    </w:p>
    <w:p w14:paraId="4F6E2F93" w14:textId="77777777" w:rsidR="00FF7AC3" w:rsidRPr="00985B97" w:rsidRDefault="00FF7AC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El primer hallazgo significativo para el caso de estudio es que la calidad de los instrumentos de planificación ejecutiva no determina por sí sola la eficacia de la gobernanza legislativa de la transición energética. Tanto Brasil como Colombia cuentan con planes estratégicos energéticos ambiciosos y técnicamente elaborados, pero su diferencia está en la infraestructura institucional que conecta esa planificación con el proceso legislativo. Los casos exitosos</w:t>
      </w:r>
      <w:r w:rsidR="007E37C4" w:rsidRPr="00985B97">
        <w:rPr>
          <w:rFonts w:asciiTheme="majorHAnsi" w:hAnsiTheme="majorHAnsi" w:cstheme="majorHAnsi"/>
          <w:lang w:val="es-ES"/>
        </w:rPr>
        <w:t xml:space="preserve"> de </w:t>
      </w:r>
      <w:r w:rsidRPr="00985B97">
        <w:rPr>
          <w:rFonts w:asciiTheme="majorHAnsi" w:hAnsiTheme="majorHAnsi" w:cstheme="majorHAnsi"/>
          <w:lang w:val="es-ES"/>
        </w:rPr>
        <w:t>Brasil</w:t>
      </w:r>
      <w:r w:rsidR="007E37C4" w:rsidRPr="00985B97">
        <w:rPr>
          <w:rFonts w:asciiTheme="majorHAnsi" w:hAnsiTheme="majorHAnsi" w:cstheme="majorHAnsi"/>
          <w:lang w:val="es-ES"/>
        </w:rPr>
        <w:t xml:space="preserve"> y </w:t>
      </w:r>
      <w:r w:rsidRPr="00985B97">
        <w:rPr>
          <w:rFonts w:asciiTheme="majorHAnsi" w:hAnsiTheme="majorHAnsi" w:cstheme="majorHAnsi"/>
          <w:lang w:val="es-ES"/>
        </w:rPr>
        <w:t xml:space="preserve">Chile </w:t>
      </w:r>
      <w:r w:rsidR="007E37C4" w:rsidRPr="00985B97">
        <w:rPr>
          <w:rFonts w:asciiTheme="majorHAnsi" w:hAnsiTheme="majorHAnsi" w:cstheme="majorHAnsi"/>
          <w:lang w:val="es-ES"/>
        </w:rPr>
        <w:t>cuentan con</w:t>
      </w:r>
      <w:r w:rsidRPr="00985B97">
        <w:rPr>
          <w:rFonts w:asciiTheme="majorHAnsi" w:hAnsiTheme="majorHAnsi" w:cstheme="majorHAnsi"/>
          <w:lang w:val="es-ES"/>
        </w:rPr>
        <w:t xml:space="preserve"> un articulador ejecutivo-legislativo permanente que trasciende los ciclos ministeriales o un cuerpo técnico institucionalizado de asesoría especializada al </w:t>
      </w:r>
      <w:r w:rsidR="001D4B0A" w:rsidRPr="00985B97">
        <w:rPr>
          <w:rFonts w:asciiTheme="majorHAnsi" w:hAnsiTheme="majorHAnsi" w:cstheme="majorHAnsi"/>
          <w:lang w:val="es-ES"/>
        </w:rPr>
        <w:t>legislativo</w:t>
      </w:r>
      <w:r w:rsidRPr="00985B97">
        <w:rPr>
          <w:rFonts w:asciiTheme="majorHAnsi" w:hAnsiTheme="majorHAnsi" w:cstheme="majorHAnsi"/>
          <w:lang w:val="es-ES"/>
        </w:rPr>
        <w:t xml:space="preserve">. Cuando estos componentes no están en la arquitectura institucional, la planificación ejecutiva produce documentos de política que no tienen un par o un reflejo en la agenda legislativa. La IEA (2023) diagnosticó esta brecha con precisión al señalar que los planes energéticos colombianos no siempre están bien alineados ni coordinados y que existe fragmentación de la gobernanza de datos en el sector. </w:t>
      </w:r>
    </w:p>
    <w:p w14:paraId="51240B18" w14:textId="77777777" w:rsidR="00FF7AC3" w:rsidRPr="00985B97" w:rsidRDefault="00FF7AC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Por otra parte, la institucionalización de la coordinación ejecutivo-legislativo no depende únicamente del régimen político, sino de la voluntad de construir mecanismos permanentes de articulación dentro del sistema existente. Al igual que Colombia, Chile opera bajo presidencialismo multipartidista y ha logrado producir una agenda legislativa energética coherente en gobiernos sin mayoría parlamentaria. El factor explicativo no es la mayoría legislativa en sí misma, sino la existencia de la SEGPRES-DIREPOL, la BCN-ATP y la Ley de lobby como componentes de una arquitectura que reduce la dependencia del proceso legislativo respecto de las capacidades y relaciones individuales del ministro de turno. </w:t>
      </w:r>
      <w:r w:rsidR="007E37C4" w:rsidRPr="00985B97">
        <w:rPr>
          <w:rFonts w:asciiTheme="majorHAnsi" w:hAnsiTheme="majorHAnsi" w:cstheme="majorHAnsi"/>
          <w:lang w:val="es-ES"/>
        </w:rPr>
        <w:t>De acuerdo con e</w:t>
      </w:r>
      <w:r w:rsidRPr="00985B97">
        <w:rPr>
          <w:rFonts w:asciiTheme="majorHAnsi" w:hAnsiTheme="majorHAnsi" w:cstheme="majorHAnsi"/>
          <w:lang w:val="es-ES"/>
        </w:rPr>
        <w:t xml:space="preserve">l enfoque de Rhodes (1990), la diferencia entre Chile y Colombia es la diferencia entre una </w:t>
      </w:r>
      <w:proofErr w:type="spellStart"/>
      <w:r w:rsidRPr="00985B97">
        <w:rPr>
          <w:rFonts w:asciiTheme="majorHAnsi" w:hAnsiTheme="majorHAnsi" w:cstheme="majorHAnsi"/>
          <w:lang w:val="es-ES"/>
        </w:rPr>
        <w:t>policy</w:t>
      </w:r>
      <w:proofErr w:type="spellEnd"/>
      <w:r w:rsidRPr="00985B97">
        <w:rPr>
          <w:rFonts w:asciiTheme="majorHAnsi" w:hAnsiTheme="majorHAnsi" w:cstheme="majorHAnsi"/>
          <w:lang w:val="es-ES"/>
        </w:rPr>
        <w:t xml:space="preserve"> </w:t>
      </w:r>
      <w:proofErr w:type="spellStart"/>
      <w:r w:rsidRPr="00985B97">
        <w:rPr>
          <w:rFonts w:asciiTheme="majorHAnsi" w:hAnsiTheme="majorHAnsi" w:cstheme="majorHAnsi"/>
          <w:lang w:val="es-ES"/>
        </w:rPr>
        <w:t>network</w:t>
      </w:r>
      <w:proofErr w:type="spellEnd"/>
      <w:r w:rsidRPr="00985B97">
        <w:rPr>
          <w:rFonts w:asciiTheme="majorHAnsi" w:hAnsiTheme="majorHAnsi" w:cstheme="majorHAnsi"/>
          <w:lang w:val="es-ES"/>
        </w:rPr>
        <w:t xml:space="preserve"> con nodos institucionales estables y una red con nodos personales que se renuevan con cada cambio ministerial.</w:t>
      </w:r>
    </w:p>
    <w:p w14:paraId="6ECA78C0" w14:textId="77777777" w:rsidR="00FF7AC3" w:rsidRPr="00985B97" w:rsidRDefault="00FF7AC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El tercer hallazgo es que la ausencia de análisis estratégico legislativo produce disfuncionalidades institucionales de distinto tipo según el sistema político en el que opera. En México, la </w:t>
      </w:r>
      <w:proofErr w:type="spellStart"/>
      <w:r w:rsidRPr="00985B97">
        <w:rPr>
          <w:rFonts w:asciiTheme="majorHAnsi" w:hAnsiTheme="majorHAnsi" w:cstheme="majorHAnsi"/>
          <w:lang w:val="es-ES"/>
        </w:rPr>
        <w:t>supermayoría</w:t>
      </w:r>
      <w:proofErr w:type="spellEnd"/>
      <w:r w:rsidRPr="00985B97">
        <w:rPr>
          <w:rFonts w:asciiTheme="majorHAnsi" w:hAnsiTheme="majorHAnsi" w:cstheme="majorHAnsi"/>
          <w:lang w:val="es-ES"/>
        </w:rPr>
        <w:t xml:space="preserve"> de Morena pudo sustituir el análisis técnico mediante la disciplina partidaria, produciendo </w:t>
      </w:r>
      <w:r w:rsidR="007E37C4" w:rsidRPr="00985B97">
        <w:rPr>
          <w:rFonts w:asciiTheme="majorHAnsi" w:hAnsiTheme="majorHAnsi" w:cstheme="majorHAnsi"/>
          <w:lang w:val="es-ES"/>
        </w:rPr>
        <w:t xml:space="preserve">una rápida </w:t>
      </w:r>
      <w:r w:rsidR="007E37C4" w:rsidRPr="00985B97">
        <w:rPr>
          <w:rFonts w:asciiTheme="majorHAnsi" w:hAnsiTheme="majorHAnsi" w:cstheme="majorHAnsi"/>
          <w:lang w:val="es-ES"/>
        </w:rPr>
        <w:lastRenderedPageBreak/>
        <w:t xml:space="preserve">aprobación de la </w:t>
      </w:r>
      <w:r w:rsidRPr="00985B97">
        <w:rPr>
          <w:rFonts w:asciiTheme="majorHAnsi" w:hAnsiTheme="majorHAnsi" w:cstheme="majorHAnsi"/>
          <w:lang w:val="es-ES"/>
        </w:rPr>
        <w:t>legislación</w:t>
      </w:r>
      <w:r w:rsidR="004724DF" w:rsidRPr="00985B97">
        <w:rPr>
          <w:rFonts w:asciiTheme="majorHAnsi" w:hAnsiTheme="majorHAnsi" w:cstheme="majorHAnsi"/>
          <w:lang w:val="es-ES"/>
        </w:rPr>
        <w:t>,</w:t>
      </w:r>
      <w:r w:rsidRPr="00985B97">
        <w:rPr>
          <w:rFonts w:asciiTheme="majorHAnsi" w:hAnsiTheme="majorHAnsi" w:cstheme="majorHAnsi"/>
          <w:lang w:val="es-ES"/>
        </w:rPr>
        <w:t xml:space="preserve"> </w:t>
      </w:r>
      <w:r w:rsidR="007E37C4" w:rsidRPr="00985B97">
        <w:rPr>
          <w:rFonts w:asciiTheme="majorHAnsi" w:hAnsiTheme="majorHAnsi" w:cstheme="majorHAnsi"/>
          <w:lang w:val="es-ES"/>
        </w:rPr>
        <w:t>con una base técnica</w:t>
      </w:r>
      <w:r w:rsidRPr="00985B97">
        <w:rPr>
          <w:rFonts w:asciiTheme="majorHAnsi" w:hAnsiTheme="majorHAnsi" w:cstheme="majorHAnsi"/>
          <w:lang w:val="es-ES"/>
        </w:rPr>
        <w:t xml:space="preserve"> insuficiente</w:t>
      </w:r>
      <w:r w:rsidR="007E37C4" w:rsidRPr="00985B97">
        <w:rPr>
          <w:rFonts w:asciiTheme="majorHAnsi" w:hAnsiTheme="majorHAnsi" w:cstheme="majorHAnsi"/>
          <w:lang w:val="es-ES"/>
        </w:rPr>
        <w:t xml:space="preserve">, que podría terminar </w:t>
      </w:r>
      <w:r w:rsidRPr="00985B97">
        <w:rPr>
          <w:rFonts w:asciiTheme="majorHAnsi" w:hAnsiTheme="majorHAnsi" w:cstheme="majorHAnsi"/>
          <w:lang w:val="es-ES"/>
        </w:rPr>
        <w:t>genera</w:t>
      </w:r>
      <w:r w:rsidR="007E37C4" w:rsidRPr="00985B97">
        <w:rPr>
          <w:rFonts w:asciiTheme="majorHAnsi" w:hAnsiTheme="majorHAnsi" w:cstheme="majorHAnsi"/>
          <w:lang w:val="es-ES"/>
        </w:rPr>
        <w:t>ndo</w:t>
      </w:r>
      <w:r w:rsidRPr="00985B97">
        <w:rPr>
          <w:rFonts w:asciiTheme="majorHAnsi" w:hAnsiTheme="majorHAnsi" w:cstheme="majorHAnsi"/>
          <w:lang w:val="es-ES"/>
        </w:rPr>
        <w:t xml:space="preserve"> inestabilidad normativa </w:t>
      </w:r>
      <w:r w:rsidR="007E37C4" w:rsidRPr="00985B97">
        <w:rPr>
          <w:rFonts w:asciiTheme="majorHAnsi" w:hAnsiTheme="majorHAnsi" w:cstheme="majorHAnsi"/>
          <w:lang w:val="es-ES"/>
        </w:rPr>
        <w:t>a</w:t>
      </w:r>
      <w:r w:rsidRPr="00985B97">
        <w:rPr>
          <w:rFonts w:asciiTheme="majorHAnsi" w:hAnsiTheme="majorHAnsi" w:cstheme="majorHAnsi"/>
          <w:lang w:val="es-ES"/>
        </w:rPr>
        <w:t xml:space="preserve"> largo plazo. En Colombia, el sistema multipartidista fragmentado no ofrece ningún mecanismo de compensación: la ausencia de análisis estratégico legislativo se expresa como personalismo e informalidad en la relación MME-Congreso, que impide la consolidación de coaliciones legislativas estables en materia energética. </w:t>
      </w:r>
    </w:p>
    <w:p w14:paraId="68874034" w14:textId="77777777" w:rsidR="00FF7AC3" w:rsidRPr="00985B97" w:rsidRDefault="00FF7AC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Si bien la debilidad estructural del análisis estratégico legislativo genera una relación fragmentada y personalista entre el ejecutivo y el </w:t>
      </w:r>
      <w:r w:rsidR="001D4B0A" w:rsidRPr="00985B97">
        <w:rPr>
          <w:rFonts w:asciiTheme="majorHAnsi" w:hAnsiTheme="majorHAnsi" w:cstheme="majorHAnsi"/>
          <w:lang w:val="es-ES"/>
        </w:rPr>
        <w:t>legislativo</w:t>
      </w:r>
      <w:r w:rsidRPr="00985B97">
        <w:rPr>
          <w:rFonts w:asciiTheme="majorHAnsi" w:hAnsiTheme="majorHAnsi" w:cstheme="majorHAnsi"/>
          <w:lang w:val="es-ES"/>
        </w:rPr>
        <w:t>, con efectos directamente negativos sobre la coherencia, la estabilidad y la implementación de la transición energética justa, los casos de Brasil y Chile demuestran que esta debilidad puede ser superada mediante la construcción deliberada de arquitecturas institucionales de coordinación, mientras que el caso de México constituye una alera sobre los riesgos de sustituir esa arquitectura con mecanismos de eficacia aparente que no garantizan la calidad técnica de la política pública.</w:t>
      </w:r>
    </w:p>
    <w:p w14:paraId="27B6FECE" w14:textId="77777777" w:rsidR="00CD0C90" w:rsidRPr="00985B97" w:rsidRDefault="00CD0C90" w:rsidP="00985B97">
      <w:pPr>
        <w:pStyle w:val="Ttulo2"/>
        <w:rPr>
          <w:rFonts w:asciiTheme="majorHAnsi" w:hAnsiTheme="majorHAnsi" w:cstheme="majorHAnsi"/>
          <w:sz w:val="22"/>
          <w:szCs w:val="22"/>
        </w:rPr>
      </w:pPr>
      <w:bookmarkStart w:id="205" w:name="_Toc235092576"/>
      <w:bookmarkStart w:id="206" w:name="_Toc235108020"/>
      <w:r w:rsidRPr="00985B97">
        <w:rPr>
          <w:rFonts w:asciiTheme="majorHAnsi" w:hAnsiTheme="majorHAnsi" w:cstheme="majorHAnsi"/>
          <w:sz w:val="22"/>
          <w:szCs w:val="22"/>
          <w:lang w:val="es-ES"/>
        </w:rPr>
        <w:t>Conclusiones</w:t>
      </w:r>
      <w:bookmarkEnd w:id="205"/>
      <w:bookmarkEnd w:id="206"/>
    </w:p>
    <w:p w14:paraId="3259FE9A" w14:textId="77777777" w:rsidR="00313E51" w:rsidRPr="00985B97" w:rsidRDefault="00313E51"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En el plano institucional-estructural, el diseño constitucional de 1991 combina un presidencialismo con amplia iniciativa legislativa en materia energética con un Congreso multipartidista cuyo número efectivo de partidos ha crecido de manera sostenida (</w:t>
      </w:r>
      <w:proofErr w:type="spellStart"/>
      <w:r w:rsidRPr="00985B97">
        <w:rPr>
          <w:rFonts w:asciiTheme="majorHAnsi" w:hAnsiTheme="majorHAnsi" w:cstheme="majorHAnsi"/>
        </w:rPr>
        <w:t>Wills</w:t>
      </w:r>
      <w:proofErr w:type="spellEnd"/>
      <w:r w:rsidRPr="00985B97">
        <w:rPr>
          <w:rFonts w:asciiTheme="majorHAnsi" w:hAnsiTheme="majorHAnsi" w:cstheme="majorHAnsi"/>
        </w:rPr>
        <w:t xml:space="preserve"> Otero, 2023), sin que exista un mecanismo institucionalizado de coalición de gobierno que reduzca los costos de coordinación derivados de esa fragmentación. Si bien el diseño constitucional garantiza controles formales entre ramas del poder público, como advierte O'Donnell (1998), la existencia de dichos frenos no equivale a la existencia de </w:t>
      </w:r>
      <w:proofErr w:type="spellStart"/>
      <w:r w:rsidRPr="00985B97">
        <w:rPr>
          <w:rFonts w:asciiTheme="majorHAnsi" w:hAnsiTheme="majorHAnsi" w:cstheme="majorHAnsi"/>
        </w:rPr>
        <w:t>accountability</w:t>
      </w:r>
      <w:proofErr w:type="spellEnd"/>
      <w:r w:rsidRPr="00985B97">
        <w:rPr>
          <w:rFonts w:asciiTheme="majorHAnsi" w:hAnsiTheme="majorHAnsi" w:cstheme="majorHAnsi"/>
        </w:rPr>
        <w:t xml:space="preserve"> horizontal efectiva. En el caso de la relación entre el MME-Congreso, el control político previsto en la Ley 5 de 1992 opera principalmente como instrumento de </w:t>
      </w:r>
      <w:proofErr w:type="spellStart"/>
      <w:r w:rsidRPr="00985B97">
        <w:rPr>
          <w:rFonts w:asciiTheme="majorHAnsi" w:hAnsiTheme="majorHAnsi" w:cstheme="majorHAnsi"/>
        </w:rPr>
        <w:t>visibilización</w:t>
      </w:r>
      <w:proofErr w:type="spellEnd"/>
      <w:r w:rsidRPr="00985B97">
        <w:rPr>
          <w:rFonts w:asciiTheme="majorHAnsi" w:hAnsiTheme="majorHAnsi" w:cstheme="majorHAnsi"/>
        </w:rPr>
        <w:t xml:space="preserve"> política, e incluso, </w:t>
      </w:r>
      <w:r w:rsidR="00CC192F" w:rsidRPr="00985B97">
        <w:rPr>
          <w:rFonts w:asciiTheme="majorHAnsi" w:hAnsiTheme="majorHAnsi" w:cstheme="majorHAnsi"/>
        </w:rPr>
        <w:t xml:space="preserve">algunas veces, </w:t>
      </w:r>
      <w:r w:rsidRPr="00985B97">
        <w:rPr>
          <w:rFonts w:asciiTheme="majorHAnsi" w:hAnsiTheme="majorHAnsi" w:cstheme="majorHAnsi"/>
        </w:rPr>
        <w:t>como palanca de negociación programática. El MME se comporta como un ejecutivo de tipo "nacional" que impulsa una agenda ambiciosa de TEJ sin garantizar previamente una coalición formal estable, frente a una asamblea "negociadora" que condiciona su respaldo a compensaciones distributivas puntuales. El resultado es un "juego bilateral de vetos" en el que ninguna de las partes logra imponer unilateralmente su agenda, y en el que la ausencia de un aparato técnico permanente de relacionamiento legislativo estratégico impide capitalizar las ventanas de oportunidad coyunturales.</w:t>
      </w:r>
    </w:p>
    <w:p w14:paraId="418924A6" w14:textId="77777777" w:rsidR="00CC192F" w:rsidRPr="00985B97" w:rsidRDefault="00CC192F"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lastRenderedPageBreak/>
        <w:t xml:space="preserve">El modelo de corrientes múltiples de </w:t>
      </w:r>
      <w:proofErr w:type="spellStart"/>
      <w:r w:rsidRPr="00985B97">
        <w:rPr>
          <w:rFonts w:asciiTheme="majorHAnsi" w:hAnsiTheme="majorHAnsi" w:cstheme="majorHAnsi"/>
        </w:rPr>
        <w:t>Kingdon</w:t>
      </w:r>
      <w:proofErr w:type="spellEnd"/>
      <w:r w:rsidRPr="00985B97">
        <w:rPr>
          <w:rFonts w:asciiTheme="majorHAnsi" w:hAnsiTheme="majorHAnsi" w:cstheme="majorHAnsi"/>
        </w:rPr>
        <w:t xml:space="preserve"> (2011) explica que, a pesar de existir una corriente de problemas claramente identificada, como la dependencia estructural de hidrocarburos y los compromisos climáticos internacionales de Colombia, así como también una corriente de políticas con alternativas técnicas sólidas, como lo ha planteado el MME, la corriente política rara vez abre una ventana de oportunidad sostenida. La ausencia de un "emprendedor de política" institucionalizado dentro del Ministerio explica por qué ventanas que sí se abren, como la aprobación conciliada del proyecto de gas para vivienda de interés social y prioritario, terminan cerrándose por fallas en la coordinación. La teoría principal-agente permite interpretar esta dinámica como un problema de agencia de doble nivel: el Congreso como agente de la ciudadanía frente al Ejecutivo sectorial, y el MME como agente del </w:t>
      </w:r>
      <w:proofErr w:type="gramStart"/>
      <w:r w:rsidRPr="00985B97">
        <w:rPr>
          <w:rFonts w:asciiTheme="majorHAnsi" w:hAnsiTheme="majorHAnsi" w:cstheme="majorHAnsi"/>
        </w:rPr>
        <w:t>Presidente</w:t>
      </w:r>
      <w:proofErr w:type="gramEnd"/>
      <w:r w:rsidRPr="00985B97">
        <w:rPr>
          <w:rFonts w:asciiTheme="majorHAnsi" w:hAnsiTheme="majorHAnsi" w:cstheme="majorHAnsi"/>
        </w:rPr>
        <w:t xml:space="preserve"> frente a otras entidades, con asimetrías de información y costos de monitoreo (</w:t>
      </w:r>
      <w:proofErr w:type="spellStart"/>
      <w:r w:rsidRPr="00985B97">
        <w:rPr>
          <w:rFonts w:asciiTheme="majorHAnsi" w:hAnsiTheme="majorHAnsi" w:cstheme="majorHAnsi"/>
        </w:rPr>
        <w:t>Strom</w:t>
      </w:r>
      <w:proofErr w:type="spellEnd"/>
      <w:r w:rsidRPr="00985B97">
        <w:rPr>
          <w:rFonts w:asciiTheme="majorHAnsi" w:hAnsiTheme="majorHAnsi" w:cstheme="majorHAnsi"/>
        </w:rPr>
        <w:t>, 2000) agravados por la ausencia de un equipo técnico dedicado a estudios de impacto fiscal y social ex ante.</w:t>
      </w:r>
    </w:p>
    <w:p w14:paraId="454FD1D1" w14:textId="77777777" w:rsidR="00CC192F" w:rsidRPr="00985B97" w:rsidRDefault="00CC192F"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En la práctica administrativa, la debilidad del análisis estratégico legislativo (ASL) no es solo un déficit de diseño institucional agregado, sino una falla identificable en la operación cotidiana de la única herramienta de planeación legislativa desarrollada formalmente. El contexto político de 2022-2026 existió una coalición de gobierno que nunca superó el 20,5 % de los escaños en ninguna cámara, y que se rompió en abril de 2023 tras la derrota de la reforma a la salud en la Comisión Séptima, confirma los señalamientos de la </w:t>
      </w:r>
      <w:proofErr w:type="spellStart"/>
      <w:r w:rsidRPr="00985B97">
        <w:rPr>
          <w:rFonts w:asciiTheme="majorHAnsi" w:hAnsiTheme="majorHAnsi" w:cstheme="majorHAnsi"/>
        </w:rPr>
        <w:t>Mainwaring</w:t>
      </w:r>
      <w:proofErr w:type="spellEnd"/>
      <w:r w:rsidRPr="00985B97">
        <w:rPr>
          <w:rFonts w:asciiTheme="majorHAnsi" w:hAnsiTheme="majorHAnsi" w:cstheme="majorHAnsi"/>
        </w:rPr>
        <w:t xml:space="preserve"> (1993) sobre la combinación entre presidencialismo y multipartidismo: sin mecanismos de formación de mayorías estables, cada iniciativa sectorial se negocia de facto, proyecto por proyecto. Esto, sumado a la rotación ministerial, así como la de quienes conforman el equipo de asuntos legislativos, hace que, en términos de </w:t>
      </w:r>
      <w:proofErr w:type="spellStart"/>
      <w:r w:rsidRPr="00985B97">
        <w:rPr>
          <w:rFonts w:asciiTheme="majorHAnsi" w:hAnsiTheme="majorHAnsi" w:cstheme="majorHAnsi"/>
        </w:rPr>
        <w:t>Bertranou</w:t>
      </w:r>
      <w:proofErr w:type="spellEnd"/>
      <w:r w:rsidRPr="00985B97">
        <w:rPr>
          <w:rFonts w:asciiTheme="majorHAnsi" w:hAnsiTheme="majorHAnsi" w:cstheme="majorHAnsi"/>
        </w:rPr>
        <w:t xml:space="preserve"> (2015), la capacidad político-relacional del MME no se acumule institucionalmente, sino que se reinicie con cada cambio de jefatura</w:t>
      </w:r>
      <w:r w:rsidR="00330F54" w:rsidRPr="00985B97">
        <w:rPr>
          <w:rFonts w:asciiTheme="majorHAnsi" w:hAnsiTheme="majorHAnsi" w:cstheme="majorHAnsi"/>
        </w:rPr>
        <w:t xml:space="preserve">, mostrando que </w:t>
      </w:r>
      <w:r w:rsidRPr="00985B97">
        <w:rPr>
          <w:rFonts w:asciiTheme="majorHAnsi" w:hAnsiTheme="majorHAnsi" w:cstheme="majorHAnsi"/>
        </w:rPr>
        <w:t xml:space="preserve">la personalización de </w:t>
      </w:r>
      <w:r w:rsidR="00330F54" w:rsidRPr="00985B97">
        <w:rPr>
          <w:rFonts w:asciiTheme="majorHAnsi" w:hAnsiTheme="majorHAnsi" w:cstheme="majorHAnsi"/>
        </w:rPr>
        <w:t>las relaciones, más allá de ser</w:t>
      </w:r>
      <w:r w:rsidRPr="00985B97">
        <w:rPr>
          <w:rFonts w:asciiTheme="majorHAnsi" w:hAnsiTheme="majorHAnsi" w:cstheme="majorHAnsi"/>
        </w:rPr>
        <w:t xml:space="preserve"> un </w:t>
      </w:r>
      <w:r w:rsidR="00330F54" w:rsidRPr="00985B97">
        <w:rPr>
          <w:rFonts w:asciiTheme="majorHAnsi" w:hAnsiTheme="majorHAnsi" w:cstheme="majorHAnsi"/>
        </w:rPr>
        <w:t>elemento contextual</w:t>
      </w:r>
      <w:r w:rsidRPr="00985B97">
        <w:rPr>
          <w:rFonts w:asciiTheme="majorHAnsi" w:hAnsiTheme="majorHAnsi" w:cstheme="majorHAnsi"/>
        </w:rPr>
        <w:t xml:space="preserve">, </w:t>
      </w:r>
      <w:r w:rsidR="00330F54" w:rsidRPr="00985B97">
        <w:rPr>
          <w:rFonts w:asciiTheme="majorHAnsi" w:hAnsiTheme="majorHAnsi" w:cstheme="majorHAnsi"/>
        </w:rPr>
        <w:t>son</w:t>
      </w:r>
      <w:r w:rsidRPr="00985B97">
        <w:rPr>
          <w:rFonts w:asciiTheme="majorHAnsi" w:hAnsiTheme="majorHAnsi" w:cstheme="majorHAnsi"/>
        </w:rPr>
        <w:t xml:space="preserve"> el resultado de esa rotación.</w:t>
      </w:r>
    </w:p>
    <w:p w14:paraId="22310CC7" w14:textId="77777777" w:rsidR="00330F54" w:rsidRPr="00985B97" w:rsidRDefault="00CC192F"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La estrategia del MME</w:t>
      </w:r>
      <w:r w:rsidR="00330F54" w:rsidRPr="00985B97">
        <w:rPr>
          <w:rFonts w:asciiTheme="majorHAnsi" w:hAnsiTheme="majorHAnsi" w:cstheme="majorHAnsi"/>
        </w:rPr>
        <w:t xml:space="preserve">, basada en el </w:t>
      </w:r>
      <w:r w:rsidRPr="00985B97">
        <w:rPr>
          <w:rFonts w:asciiTheme="majorHAnsi" w:hAnsiTheme="majorHAnsi" w:cstheme="majorHAnsi"/>
        </w:rPr>
        <w:t>análisis composicional, monitoreo, relacionamiento, gestión de amenazas y colaboración</w:t>
      </w:r>
      <w:r w:rsidR="00330F54" w:rsidRPr="00985B97">
        <w:rPr>
          <w:rFonts w:asciiTheme="majorHAnsi" w:hAnsiTheme="majorHAnsi" w:cstheme="majorHAnsi"/>
        </w:rPr>
        <w:t xml:space="preserve">, </w:t>
      </w:r>
      <w:r w:rsidRPr="00985B97">
        <w:rPr>
          <w:rFonts w:asciiTheme="majorHAnsi" w:hAnsiTheme="majorHAnsi" w:cstheme="majorHAnsi"/>
        </w:rPr>
        <w:t xml:space="preserve">conforman una arquitectura </w:t>
      </w:r>
      <w:r w:rsidR="00330F54" w:rsidRPr="00985B97">
        <w:rPr>
          <w:rFonts w:asciiTheme="majorHAnsi" w:hAnsiTheme="majorHAnsi" w:cstheme="majorHAnsi"/>
        </w:rPr>
        <w:t>sólida</w:t>
      </w:r>
      <w:r w:rsidRPr="00985B97">
        <w:rPr>
          <w:rFonts w:asciiTheme="majorHAnsi" w:hAnsiTheme="majorHAnsi" w:cstheme="majorHAnsi"/>
        </w:rPr>
        <w:t>, coherente con la tipología de Rhodes (1990) sobre el intercambio de recursos técnicos, políticos y reputacionales en redes de política pública. Sin embargo, esa arquitectura es estática y no resiste los choques exógenos</w:t>
      </w:r>
      <w:r w:rsidR="00330F54" w:rsidRPr="00985B97">
        <w:rPr>
          <w:rFonts w:asciiTheme="majorHAnsi" w:hAnsiTheme="majorHAnsi" w:cstheme="majorHAnsi"/>
        </w:rPr>
        <w:t xml:space="preserve">, como </w:t>
      </w:r>
      <w:r w:rsidRPr="00985B97">
        <w:rPr>
          <w:rFonts w:asciiTheme="majorHAnsi" w:hAnsiTheme="majorHAnsi" w:cstheme="majorHAnsi"/>
        </w:rPr>
        <w:t xml:space="preserve">el mapeo de bancadas </w:t>
      </w:r>
      <w:r w:rsidR="00330F54" w:rsidRPr="00985B97">
        <w:rPr>
          <w:rFonts w:asciiTheme="majorHAnsi" w:hAnsiTheme="majorHAnsi" w:cstheme="majorHAnsi"/>
        </w:rPr>
        <w:t xml:space="preserve">que </w:t>
      </w:r>
      <w:r w:rsidRPr="00985B97">
        <w:rPr>
          <w:rFonts w:asciiTheme="majorHAnsi" w:hAnsiTheme="majorHAnsi" w:cstheme="majorHAnsi"/>
        </w:rPr>
        <w:t>quedó invalidado por la ruptura de la coalición de abril de 2023</w:t>
      </w:r>
      <w:r w:rsidR="00330F54" w:rsidRPr="00985B97">
        <w:rPr>
          <w:rFonts w:asciiTheme="majorHAnsi" w:hAnsiTheme="majorHAnsi" w:cstheme="majorHAnsi"/>
        </w:rPr>
        <w:t>. De igual forma,</w:t>
      </w:r>
      <w:r w:rsidRPr="00985B97">
        <w:rPr>
          <w:rFonts w:asciiTheme="majorHAnsi" w:hAnsiTheme="majorHAnsi" w:cstheme="majorHAnsi"/>
        </w:rPr>
        <w:t xml:space="preserve"> el monitoreo depende de equipos que cada ministro designa discrecionalmente, fragmentando la memoria institucional con cada </w:t>
      </w:r>
      <w:r w:rsidRPr="00985B97">
        <w:rPr>
          <w:rFonts w:asciiTheme="majorHAnsi" w:hAnsiTheme="majorHAnsi" w:cstheme="majorHAnsi"/>
        </w:rPr>
        <w:lastRenderedPageBreak/>
        <w:t>cambio</w:t>
      </w:r>
      <w:r w:rsidR="00330F54" w:rsidRPr="00985B97">
        <w:rPr>
          <w:rFonts w:asciiTheme="majorHAnsi" w:hAnsiTheme="majorHAnsi" w:cstheme="majorHAnsi"/>
        </w:rPr>
        <w:t>. E</w:t>
      </w:r>
      <w:r w:rsidRPr="00985B97">
        <w:rPr>
          <w:rFonts w:asciiTheme="majorHAnsi" w:hAnsiTheme="majorHAnsi" w:cstheme="majorHAnsi"/>
        </w:rPr>
        <w:t>l nivel reputacional se erosion</w:t>
      </w:r>
      <w:r w:rsidR="00330F54" w:rsidRPr="00985B97">
        <w:rPr>
          <w:rFonts w:asciiTheme="majorHAnsi" w:hAnsiTheme="majorHAnsi" w:cstheme="majorHAnsi"/>
        </w:rPr>
        <w:t xml:space="preserve">a </w:t>
      </w:r>
      <w:r w:rsidRPr="00985B97">
        <w:rPr>
          <w:rFonts w:asciiTheme="majorHAnsi" w:hAnsiTheme="majorHAnsi" w:cstheme="majorHAnsi"/>
        </w:rPr>
        <w:t>por señales contradictorias entre la Presidencia, el Ministerio de Hacienda y el propio MME sobre la política de hidrocarburos</w:t>
      </w:r>
      <w:r w:rsidR="00330F54" w:rsidRPr="00985B97">
        <w:rPr>
          <w:rFonts w:asciiTheme="majorHAnsi" w:hAnsiTheme="majorHAnsi" w:cstheme="majorHAnsi"/>
        </w:rPr>
        <w:t>. De igual forma, aunque</w:t>
      </w:r>
      <w:r w:rsidRPr="00985B97">
        <w:rPr>
          <w:rFonts w:asciiTheme="majorHAnsi" w:hAnsiTheme="majorHAnsi" w:cstheme="majorHAnsi"/>
        </w:rPr>
        <w:t xml:space="preserve"> la gestión de amenazas</w:t>
      </w:r>
      <w:r w:rsidR="00330F54" w:rsidRPr="00985B97">
        <w:rPr>
          <w:rFonts w:asciiTheme="majorHAnsi" w:hAnsiTheme="majorHAnsi" w:cstheme="majorHAnsi"/>
        </w:rPr>
        <w:t xml:space="preserve"> </w:t>
      </w:r>
      <w:r w:rsidRPr="00985B97">
        <w:rPr>
          <w:rFonts w:asciiTheme="majorHAnsi" w:hAnsiTheme="majorHAnsi" w:cstheme="majorHAnsi"/>
        </w:rPr>
        <w:t xml:space="preserve">supera las prácticas ad hoc </w:t>
      </w:r>
      <w:r w:rsidR="00330F54" w:rsidRPr="00985B97">
        <w:rPr>
          <w:rFonts w:asciiTheme="majorHAnsi" w:hAnsiTheme="majorHAnsi" w:cstheme="majorHAnsi"/>
        </w:rPr>
        <w:t>utilizando herramientas como</w:t>
      </w:r>
      <w:r w:rsidRPr="00985B97">
        <w:rPr>
          <w:rFonts w:asciiTheme="majorHAnsi" w:hAnsiTheme="majorHAnsi" w:cstheme="majorHAnsi"/>
        </w:rPr>
        <w:t xml:space="preserve"> </w:t>
      </w:r>
      <w:r w:rsidR="00330F54" w:rsidRPr="00985B97">
        <w:rPr>
          <w:rFonts w:asciiTheme="majorHAnsi" w:hAnsiTheme="majorHAnsi" w:cstheme="majorHAnsi"/>
        </w:rPr>
        <w:t>l</w:t>
      </w:r>
      <w:r w:rsidRPr="00985B97">
        <w:rPr>
          <w:rFonts w:asciiTheme="majorHAnsi" w:hAnsiTheme="majorHAnsi" w:cstheme="majorHAnsi"/>
        </w:rPr>
        <w:t xml:space="preserve">a matriz de riesgo legislativo, </w:t>
      </w:r>
      <w:r w:rsidR="00330F54" w:rsidRPr="00985B97">
        <w:rPr>
          <w:rFonts w:asciiTheme="majorHAnsi" w:hAnsiTheme="majorHAnsi" w:cstheme="majorHAnsi"/>
        </w:rPr>
        <w:t xml:space="preserve">la estrategia parece </w:t>
      </w:r>
      <w:r w:rsidRPr="00985B97">
        <w:rPr>
          <w:rFonts w:asciiTheme="majorHAnsi" w:hAnsiTheme="majorHAnsi" w:cstheme="majorHAnsi"/>
        </w:rPr>
        <w:t>orientada a la contención reactiva, sin</w:t>
      </w:r>
      <w:r w:rsidR="00330F54" w:rsidRPr="00985B97">
        <w:rPr>
          <w:rFonts w:asciiTheme="majorHAnsi" w:hAnsiTheme="majorHAnsi" w:cstheme="majorHAnsi"/>
        </w:rPr>
        <w:t xml:space="preserve"> tener en cuenta la </w:t>
      </w:r>
      <w:r w:rsidRPr="00985B97">
        <w:rPr>
          <w:rFonts w:asciiTheme="majorHAnsi" w:hAnsiTheme="majorHAnsi" w:cstheme="majorHAnsi"/>
        </w:rPr>
        <w:t xml:space="preserve">construcción proactiva de consensos. </w:t>
      </w:r>
    </w:p>
    <w:p w14:paraId="4EC3FD91" w14:textId="77777777" w:rsidR="00CC192F" w:rsidRPr="00985B97" w:rsidRDefault="00330F54"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De esta forma, la </w:t>
      </w:r>
      <w:r w:rsidR="00CC192F" w:rsidRPr="00985B97">
        <w:rPr>
          <w:rFonts w:asciiTheme="majorHAnsi" w:hAnsiTheme="majorHAnsi" w:cstheme="majorHAnsi"/>
        </w:rPr>
        <w:t>ausencia de métricas de evaluación, de un protocolo de transición ministerial, de coordinación interinstitucional explícit</w:t>
      </w:r>
      <w:r w:rsidRPr="00985B97">
        <w:rPr>
          <w:rFonts w:asciiTheme="majorHAnsi" w:hAnsiTheme="majorHAnsi" w:cstheme="majorHAnsi"/>
        </w:rPr>
        <w:t xml:space="preserve">a </w:t>
      </w:r>
      <w:r w:rsidR="00CC192F" w:rsidRPr="00985B97">
        <w:rPr>
          <w:rFonts w:asciiTheme="majorHAnsi" w:hAnsiTheme="majorHAnsi" w:cstheme="majorHAnsi"/>
        </w:rPr>
        <w:t>y de una distinción entre agenda legislativa ofensiva y defensiva</w:t>
      </w:r>
      <w:r w:rsidRPr="00985B97">
        <w:rPr>
          <w:rFonts w:asciiTheme="majorHAnsi" w:hAnsiTheme="majorHAnsi" w:cstheme="majorHAnsi"/>
        </w:rPr>
        <w:t>,</w:t>
      </w:r>
      <w:r w:rsidR="00CC192F" w:rsidRPr="00985B97">
        <w:rPr>
          <w:rFonts w:asciiTheme="majorHAnsi" w:hAnsiTheme="majorHAnsi" w:cstheme="majorHAnsi"/>
        </w:rPr>
        <w:t xml:space="preserve"> evidencian que el ASL opera, en su forma actual, como un instrumento </w:t>
      </w:r>
      <w:r w:rsidRPr="00985B97">
        <w:rPr>
          <w:rFonts w:asciiTheme="majorHAnsi" w:hAnsiTheme="majorHAnsi" w:cstheme="majorHAnsi"/>
        </w:rPr>
        <w:t>con falencias importantes</w:t>
      </w:r>
      <w:r w:rsidR="00CC192F" w:rsidRPr="00985B97">
        <w:rPr>
          <w:rFonts w:asciiTheme="majorHAnsi" w:hAnsiTheme="majorHAnsi" w:cstheme="majorHAnsi"/>
        </w:rPr>
        <w:t>: identifica actores y riesgos, pero no los convierte en aprendizaje institucional acumulable, replicando en el plano micro la misma lógica de juego bilateral de vetos diagnosticada en el plano macro.</w:t>
      </w:r>
    </w:p>
    <w:p w14:paraId="4FE38442" w14:textId="77777777" w:rsidR="00CC192F" w:rsidRPr="00985B97" w:rsidRDefault="00330F54"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Por otra parte, e</w:t>
      </w:r>
      <w:r w:rsidR="00CC192F" w:rsidRPr="00985B97">
        <w:rPr>
          <w:rFonts w:asciiTheme="majorHAnsi" w:hAnsiTheme="majorHAnsi" w:cstheme="majorHAnsi"/>
        </w:rPr>
        <w:t>l ejercicio comparado con Brasil, Chile y México muestra que, incluso con</w:t>
      </w:r>
      <w:r w:rsidRPr="00985B97">
        <w:rPr>
          <w:rFonts w:asciiTheme="majorHAnsi" w:hAnsiTheme="majorHAnsi" w:cstheme="majorHAnsi"/>
        </w:rPr>
        <w:t xml:space="preserve"> una</w:t>
      </w:r>
      <w:r w:rsidR="00CC192F" w:rsidRPr="00985B97">
        <w:rPr>
          <w:rFonts w:asciiTheme="majorHAnsi" w:hAnsiTheme="majorHAnsi" w:cstheme="majorHAnsi"/>
        </w:rPr>
        <w:t xml:space="preserve"> fragmentación partidista más severa que la colombiana, </w:t>
      </w:r>
      <w:r w:rsidRPr="00985B97">
        <w:rPr>
          <w:rFonts w:asciiTheme="majorHAnsi" w:hAnsiTheme="majorHAnsi" w:cstheme="majorHAnsi"/>
        </w:rPr>
        <w:t>en un país como Brasil, la institucionalización del</w:t>
      </w:r>
      <w:r w:rsidR="00CC192F" w:rsidRPr="00985B97">
        <w:rPr>
          <w:rFonts w:asciiTheme="majorHAnsi" w:hAnsiTheme="majorHAnsi" w:cstheme="majorHAnsi"/>
        </w:rPr>
        <w:t xml:space="preserve"> consenso ex ante </w:t>
      </w:r>
      <w:r w:rsidRPr="00985B97">
        <w:rPr>
          <w:rFonts w:asciiTheme="majorHAnsi" w:hAnsiTheme="majorHAnsi" w:cstheme="majorHAnsi"/>
        </w:rPr>
        <w:t xml:space="preserve">(gracias al </w:t>
      </w:r>
      <w:r w:rsidR="00CC192F" w:rsidRPr="00985B97">
        <w:rPr>
          <w:rFonts w:asciiTheme="majorHAnsi" w:hAnsiTheme="majorHAnsi" w:cstheme="majorHAnsi"/>
        </w:rPr>
        <w:t>FONTE), el CNPE y el CONLE</w:t>
      </w:r>
      <w:r w:rsidRPr="00985B97">
        <w:rPr>
          <w:rFonts w:asciiTheme="majorHAnsi" w:hAnsiTheme="majorHAnsi" w:cstheme="majorHAnsi"/>
        </w:rPr>
        <w:t>),</w:t>
      </w:r>
      <w:r w:rsidR="00CC192F" w:rsidRPr="00985B97">
        <w:rPr>
          <w:rFonts w:asciiTheme="majorHAnsi" w:hAnsiTheme="majorHAnsi" w:cstheme="majorHAnsi"/>
        </w:rPr>
        <w:t xml:space="preserve"> reducen </w:t>
      </w:r>
      <w:r w:rsidRPr="00985B97">
        <w:rPr>
          <w:rFonts w:asciiTheme="majorHAnsi" w:hAnsiTheme="majorHAnsi" w:cstheme="majorHAnsi"/>
        </w:rPr>
        <w:t>significativamente</w:t>
      </w:r>
      <w:r w:rsidR="00CC192F" w:rsidRPr="00985B97">
        <w:rPr>
          <w:rFonts w:asciiTheme="majorHAnsi" w:hAnsiTheme="majorHAnsi" w:cstheme="majorHAnsi"/>
        </w:rPr>
        <w:t xml:space="preserve"> los costos de transacción al desplazar la negociación hacia una etapa previa de construcción técnica y política compartida. </w:t>
      </w:r>
      <w:r w:rsidRPr="00985B97">
        <w:rPr>
          <w:rFonts w:asciiTheme="majorHAnsi" w:hAnsiTheme="majorHAnsi" w:cstheme="majorHAnsi"/>
        </w:rPr>
        <w:t>El caso de C</w:t>
      </w:r>
      <w:r w:rsidR="00CC192F" w:rsidRPr="00985B97">
        <w:rPr>
          <w:rFonts w:asciiTheme="majorHAnsi" w:hAnsiTheme="majorHAnsi" w:cstheme="majorHAnsi"/>
        </w:rPr>
        <w:t xml:space="preserve">hile evidencia que la capacidad técnica legislativa autónoma, sostenida por </w:t>
      </w:r>
      <w:r w:rsidRPr="00985B97">
        <w:rPr>
          <w:rFonts w:asciiTheme="majorHAnsi" w:hAnsiTheme="majorHAnsi" w:cstheme="majorHAnsi"/>
        </w:rPr>
        <w:t>organismos como la</w:t>
      </w:r>
      <w:r w:rsidR="00CC192F" w:rsidRPr="00985B97">
        <w:rPr>
          <w:rFonts w:asciiTheme="majorHAnsi" w:hAnsiTheme="majorHAnsi" w:cstheme="majorHAnsi"/>
        </w:rPr>
        <w:t xml:space="preserve"> Biblioteca del Congreso Nacional y las Asesorías Técnicas Parlamentarias, reduce las asimetrías de información que la teoría principal-agente identifica como fuente central de costos de agencia, permitiendo </w:t>
      </w:r>
      <w:r w:rsidRPr="00985B97">
        <w:rPr>
          <w:rFonts w:asciiTheme="majorHAnsi" w:hAnsiTheme="majorHAnsi" w:cstheme="majorHAnsi"/>
        </w:rPr>
        <w:t xml:space="preserve">que exista </w:t>
      </w:r>
      <w:r w:rsidR="00CC192F" w:rsidRPr="00985B97">
        <w:rPr>
          <w:rFonts w:asciiTheme="majorHAnsi" w:hAnsiTheme="majorHAnsi" w:cstheme="majorHAnsi"/>
        </w:rPr>
        <w:t xml:space="preserve">un Congreso informado y no meramente reactivo. </w:t>
      </w:r>
      <w:r w:rsidRPr="00985B97">
        <w:rPr>
          <w:rFonts w:asciiTheme="majorHAnsi" w:hAnsiTheme="majorHAnsi" w:cstheme="majorHAnsi"/>
        </w:rPr>
        <w:t xml:space="preserve">Por su parte, </w:t>
      </w:r>
      <w:r w:rsidR="00CC192F" w:rsidRPr="00985B97">
        <w:rPr>
          <w:rFonts w:asciiTheme="majorHAnsi" w:hAnsiTheme="majorHAnsi" w:cstheme="majorHAnsi"/>
        </w:rPr>
        <w:t xml:space="preserve">México ofrece una lección </w:t>
      </w:r>
      <w:r w:rsidRPr="00985B97">
        <w:rPr>
          <w:rFonts w:asciiTheme="majorHAnsi" w:hAnsiTheme="majorHAnsi" w:cstheme="majorHAnsi"/>
        </w:rPr>
        <w:t>de atención</w:t>
      </w:r>
      <w:r w:rsidR="00CC192F" w:rsidRPr="00985B97">
        <w:rPr>
          <w:rFonts w:asciiTheme="majorHAnsi" w:hAnsiTheme="majorHAnsi" w:cstheme="majorHAnsi"/>
        </w:rPr>
        <w:t xml:space="preserve"> distint</w:t>
      </w:r>
      <w:r w:rsidRPr="00985B97">
        <w:rPr>
          <w:rFonts w:asciiTheme="majorHAnsi" w:hAnsiTheme="majorHAnsi" w:cstheme="majorHAnsi"/>
        </w:rPr>
        <w:t>a</w:t>
      </w:r>
      <w:r w:rsidR="00CC192F" w:rsidRPr="00985B97">
        <w:rPr>
          <w:rFonts w:asciiTheme="majorHAnsi" w:hAnsiTheme="majorHAnsi" w:cstheme="majorHAnsi"/>
        </w:rPr>
        <w:t xml:space="preserve">: la reducción de veto </w:t>
      </w:r>
      <w:proofErr w:type="spellStart"/>
      <w:r w:rsidR="00CC192F" w:rsidRPr="00985B97">
        <w:rPr>
          <w:rFonts w:asciiTheme="majorHAnsi" w:hAnsiTheme="majorHAnsi" w:cstheme="majorHAnsi"/>
        </w:rPr>
        <w:t>players</w:t>
      </w:r>
      <w:proofErr w:type="spellEnd"/>
      <w:r w:rsidR="00CC192F" w:rsidRPr="00985B97">
        <w:rPr>
          <w:rFonts w:asciiTheme="majorHAnsi" w:hAnsiTheme="majorHAnsi" w:cstheme="majorHAnsi"/>
        </w:rPr>
        <w:t xml:space="preserve"> mediante mayorías legislativas amplias </w:t>
      </w:r>
      <w:r w:rsidRPr="00985B97">
        <w:rPr>
          <w:rFonts w:asciiTheme="majorHAnsi" w:hAnsiTheme="majorHAnsi" w:cstheme="majorHAnsi"/>
        </w:rPr>
        <w:t xml:space="preserve">puede </w:t>
      </w:r>
      <w:r w:rsidR="00CC192F" w:rsidRPr="00985B97">
        <w:rPr>
          <w:rFonts w:asciiTheme="majorHAnsi" w:hAnsiTheme="majorHAnsi" w:cstheme="majorHAnsi"/>
        </w:rPr>
        <w:t>acelera</w:t>
      </w:r>
      <w:r w:rsidRPr="00985B97">
        <w:rPr>
          <w:rFonts w:asciiTheme="majorHAnsi" w:hAnsiTheme="majorHAnsi" w:cstheme="majorHAnsi"/>
        </w:rPr>
        <w:t>r</w:t>
      </w:r>
      <w:r w:rsidR="00CC192F" w:rsidRPr="00985B97">
        <w:rPr>
          <w:rFonts w:asciiTheme="majorHAnsi" w:hAnsiTheme="majorHAnsi" w:cstheme="majorHAnsi"/>
        </w:rPr>
        <w:t xml:space="preserve"> la aprobación normativa, pero no garantiza la calidad ni la sostenibilidad de la política cuando esa velocidad no va acompañada de evaluación técnica ex ante ni de escrutinio legislativo, como muestran las controversias que siguieron a la reforma energética de 2013 y a los ajustes de 2024.</w:t>
      </w:r>
    </w:p>
    <w:p w14:paraId="6655B6FC" w14:textId="77777777" w:rsidR="00CC192F" w:rsidRPr="00985B97" w:rsidRDefault="00CC192F"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Est</w:t>
      </w:r>
      <w:r w:rsidR="00330F54" w:rsidRPr="00985B97">
        <w:rPr>
          <w:rFonts w:asciiTheme="majorHAnsi" w:hAnsiTheme="majorHAnsi" w:cstheme="majorHAnsi"/>
        </w:rPr>
        <w:t xml:space="preserve">os hallazgos </w:t>
      </w:r>
      <w:r w:rsidRPr="00985B97">
        <w:rPr>
          <w:rFonts w:asciiTheme="majorHAnsi" w:hAnsiTheme="majorHAnsi" w:cstheme="majorHAnsi"/>
        </w:rPr>
        <w:t xml:space="preserve">permiten identificar los vacíos funcionales del ASL colombiano: la ausencia de una arena equivalente al FONTE o al CNPE brasileño para construir consenso técnico-político antes de radicar iniciativas; la ausencia de una capacidad técnica legislativa autónoma equivalente a la BCN o las ATP chilenas, que reduzca la dependencia informativa del Congreso frente al Ejecutivo y fortalezca la posición negociadora del propio MME; y la advertencia mexicana de que la sola reducción de veto </w:t>
      </w:r>
      <w:proofErr w:type="spellStart"/>
      <w:r w:rsidRPr="00985B97">
        <w:rPr>
          <w:rFonts w:asciiTheme="majorHAnsi" w:hAnsiTheme="majorHAnsi" w:cstheme="majorHAnsi"/>
        </w:rPr>
        <w:t>players</w:t>
      </w:r>
      <w:proofErr w:type="spellEnd"/>
      <w:r w:rsidRPr="00985B97">
        <w:rPr>
          <w:rFonts w:asciiTheme="majorHAnsi" w:hAnsiTheme="majorHAnsi" w:cstheme="majorHAnsi"/>
        </w:rPr>
        <w:t xml:space="preserve"> no </w:t>
      </w:r>
      <w:r w:rsidRPr="00985B97">
        <w:rPr>
          <w:rFonts w:asciiTheme="majorHAnsi" w:hAnsiTheme="majorHAnsi" w:cstheme="majorHAnsi"/>
        </w:rPr>
        <w:lastRenderedPageBreak/>
        <w:t xml:space="preserve">sustituye un ASL institucionalizado, </w:t>
      </w:r>
      <w:r w:rsidR="00330F54" w:rsidRPr="00985B97">
        <w:rPr>
          <w:rFonts w:asciiTheme="majorHAnsi" w:hAnsiTheme="majorHAnsi" w:cstheme="majorHAnsi"/>
        </w:rPr>
        <w:t>en tanto que,</w:t>
      </w:r>
      <w:r w:rsidRPr="00985B97">
        <w:rPr>
          <w:rFonts w:asciiTheme="majorHAnsi" w:hAnsiTheme="majorHAnsi" w:cstheme="majorHAnsi"/>
        </w:rPr>
        <w:t xml:space="preserve"> sin métricas ni coordinación interinstitucional, incluso un Congreso más favorable a la TEJ podría producir normas de baja calidad técnica.</w:t>
      </w:r>
    </w:p>
    <w:p w14:paraId="0159C7AE" w14:textId="77777777" w:rsidR="009F70C8" w:rsidRPr="00985B97" w:rsidRDefault="009F70C8"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De esta manera, este apartado permite confirmar</w:t>
      </w:r>
      <w:r w:rsidR="00CC192F" w:rsidRPr="00985B97">
        <w:rPr>
          <w:rFonts w:asciiTheme="majorHAnsi" w:hAnsiTheme="majorHAnsi" w:cstheme="majorHAnsi"/>
        </w:rPr>
        <w:t xml:space="preserve"> la hipótesis </w:t>
      </w:r>
      <w:r w:rsidRPr="00985B97">
        <w:rPr>
          <w:rFonts w:asciiTheme="majorHAnsi" w:hAnsiTheme="majorHAnsi" w:cstheme="majorHAnsi"/>
        </w:rPr>
        <w:t>de manera preliminar</w:t>
      </w:r>
      <w:r w:rsidR="00CC192F" w:rsidRPr="00985B97">
        <w:rPr>
          <w:rFonts w:asciiTheme="majorHAnsi" w:hAnsiTheme="majorHAnsi" w:cstheme="majorHAnsi"/>
        </w:rPr>
        <w:t>: la debilidad del ASL es una cadena causal identificable que va desde el diseño constitucional sin mecanismos de coalición formal, pasa por la ausencia de protocolos de actualización, métricas y transferencia de conocimiento ministerial en la práctica administrativa del MME, y se confirma al observar que los países de la región que sí han mitigado estos costos de transacción lo han hecho mediante arreglos institucionales específicos y replicables que el caso colombiano no posee.</w:t>
      </w:r>
    </w:p>
    <w:p w14:paraId="6C4E016D" w14:textId="77777777" w:rsidR="00CC192F" w:rsidRPr="00985B97" w:rsidRDefault="00DD57B0"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F</w:t>
      </w:r>
      <w:r w:rsidR="00CC192F" w:rsidRPr="00985B97">
        <w:rPr>
          <w:rFonts w:asciiTheme="majorHAnsi" w:hAnsiTheme="majorHAnsi" w:cstheme="majorHAnsi"/>
        </w:rPr>
        <w:t xml:space="preserve">ortalecer el </w:t>
      </w:r>
      <w:r w:rsidRPr="00985B97">
        <w:rPr>
          <w:rFonts w:asciiTheme="majorHAnsi" w:hAnsiTheme="majorHAnsi" w:cstheme="majorHAnsi"/>
        </w:rPr>
        <w:t>análisis sectorial legislativo</w:t>
      </w:r>
      <w:r w:rsidR="00CC192F" w:rsidRPr="00985B97">
        <w:rPr>
          <w:rFonts w:asciiTheme="majorHAnsi" w:hAnsiTheme="majorHAnsi" w:cstheme="majorHAnsi"/>
        </w:rPr>
        <w:t xml:space="preserve"> del MME requiere formalizar un protocolo de actualización del análisis composicional, incorporar métricas de evaluación, diseñar un protocolo de transferencia de conocimiento ante cada cambio ministerial, y establecer coordinación interinstitucional y diferenciación entre agenda legislativa ofensiva y defensiva</w:t>
      </w:r>
      <w:r w:rsidRPr="00985B97">
        <w:rPr>
          <w:rFonts w:asciiTheme="majorHAnsi" w:hAnsiTheme="majorHAnsi" w:cstheme="majorHAnsi"/>
        </w:rPr>
        <w:t xml:space="preserve">, </w:t>
      </w:r>
      <w:r w:rsidR="00CC192F" w:rsidRPr="00985B97">
        <w:rPr>
          <w:rFonts w:asciiTheme="majorHAnsi" w:hAnsiTheme="majorHAnsi" w:cstheme="majorHAnsi"/>
        </w:rPr>
        <w:t>recomendaciones que, a la luz de las lecciones comparadas de Brasil y Chile, apuntan hacia la institucionalización de arenas de consenso ex ante y el fortalecimiento de la capacidad técnica disponible para el Ejecutivo y el Legislativo, en lugar de depender de la habilidad negociadora individual de cada ministro de turno.</w:t>
      </w:r>
    </w:p>
    <w:p w14:paraId="07999AAE" w14:textId="77777777" w:rsidR="00FF7AC3" w:rsidRPr="00985B97" w:rsidRDefault="00DD57B0"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A modo de cierre, es posible indicar que</w:t>
      </w:r>
      <w:r w:rsidR="00CC192F" w:rsidRPr="00985B97">
        <w:rPr>
          <w:rFonts w:asciiTheme="majorHAnsi" w:hAnsiTheme="majorHAnsi" w:cstheme="majorHAnsi"/>
        </w:rPr>
        <w:t xml:space="preserve"> la relación entre el MME y el Congreso en materia de transición energética justa no es fragmentada y personalista por una supuesta idiosincrasia política colombiana, sino </w:t>
      </w:r>
      <w:r w:rsidRPr="00985B97">
        <w:rPr>
          <w:rFonts w:asciiTheme="majorHAnsi" w:hAnsiTheme="majorHAnsi" w:cstheme="majorHAnsi"/>
        </w:rPr>
        <w:t xml:space="preserve">que éste fenómeno es </w:t>
      </w:r>
      <w:r w:rsidR="00CC192F" w:rsidRPr="00985B97">
        <w:rPr>
          <w:rFonts w:asciiTheme="majorHAnsi" w:hAnsiTheme="majorHAnsi" w:cstheme="majorHAnsi"/>
        </w:rPr>
        <w:t>el resultado de la interacción entre un diseño constitucional que multiplica los actores de veto, una práctica administrativa que no institucionaliza el aprendizaje legislativo acumulado, y la ausencia de arreglos comparados que</w:t>
      </w:r>
      <w:r w:rsidRPr="00985B97">
        <w:rPr>
          <w:rFonts w:asciiTheme="majorHAnsi" w:hAnsiTheme="majorHAnsi" w:cstheme="majorHAnsi"/>
        </w:rPr>
        <w:t>,</w:t>
      </w:r>
      <w:r w:rsidR="00CC192F" w:rsidRPr="00985B97">
        <w:rPr>
          <w:rFonts w:asciiTheme="majorHAnsi" w:hAnsiTheme="majorHAnsi" w:cstheme="majorHAnsi"/>
        </w:rPr>
        <w:t xml:space="preserve"> en otros países de la región</w:t>
      </w:r>
      <w:r w:rsidRPr="00985B97">
        <w:rPr>
          <w:rFonts w:asciiTheme="majorHAnsi" w:hAnsiTheme="majorHAnsi" w:cstheme="majorHAnsi"/>
        </w:rPr>
        <w:t>,</w:t>
      </w:r>
      <w:r w:rsidR="00CC192F" w:rsidRPr="00985B97">
        <w:rPr>
          <w:rFonts w:asciiTheme="majorHAnsi" w:hAnsiTheme="majorHAnsi" w:cstheme="majorHAnsi"/>
        </w:rPr>
        <w:t xml:space="preserve"> han reducido efectivamente los costos de transacción sin sacrificar la calidad de la política pública. </w:t>
      </w:r>
      <w:r w:rsidRPr="00985B97">
        <w:rPr>
          <w:rFonts w:asciiTheme="majorHAnsi" w:hAnsiTheme="majorHAnsi" w:cstheme="majorHAnsi"/>
        </w:rPr>
        <w:t>Lo anterior</w:t>
      </w:r>
      <w:r w:rsidR="00CC192F" w:rsidRPr="00985B97">
        <w:rPr>
          <w:rFonts w:asciiTheme="majorHAnsi" w:hAnsiTheme="majorHAnsi" w:cstheme="majorHAnsi"/>
        </w:rPr>
        <w:t xml:space="preserve"> constituye el fundamento sobre el cual </w:t>
      </w:r>
      <w:r w:rsidRPr="00985B97">
        <w:rPr>
          <w:rFonts w:asciiTheme="majorHAnsi" w:hAnsiTheme="majorHAnsi" w:cstheme="majorHAnsi"/>
        </w:rPr>
        <w:t>se hace necesario construir</w:t>
      </w:r>
      <w:r w:rsidR="00CC192F" w:rsidRPr="00985B97">
        <w:rPr>
          <w:rFonts w:asciiTheme="majorHAnsi" w:hAnsiTheme="majorHAnsi" w:cstheme="majorHAnsi"/>
        </w:rPr>
        <w:t xml:space="preserve"> una estrategia institucional de relacionamiento legislativo orientada a superar las debilidades transversales identificadas, incorporando las lecciones del análisis comparado con Brasil, Chile y México</w:t>
      </w:r>
      <w:r w:rsidR="00313E51" w:rsidRPr="00985B97">
        <w:rPr>
          <w:rFonts w:asciiTheme="majorHAnsi" w:hAnsiTheme="majorHAnsi" w:cstheme="majorHAnsi"/>
        </w:rPr>
        <w:t>.</w:t>
      </w:r>
    </w:p>
    <w:p w14:paraId="2ACFA967" w14:textId="77777777" w:rsidR="00DD57B0" w:rsidRPr="00985B97" w:rsidRDefault="00DD57B0" w:rsidP="00985B97">
      <w:pPr>
        <w:pBdr>
          <w:top w:val="nil"/>
          <w:left w:val="nil"/>
          <w:bottom w:val="nil"/>
          <w:right w:val="nil"/>
          <w:between w:val="nil"/>
        </w:pBdr>
        <w:spacing w:before="240" w:after="0"/>
        <w:jc w:val="both"/>
        <w:rPr>
          <w:rFonts w:asciiTheme="majorHAnsi" w:hAnsiTheme="majorHAnsi" w:cstheme="majorHAnsi"/>
        </w:rPr>
      </w:pPr>
    </w:p>
    <w:p w14:paraId="7BA2A3FD" w14:textId="77777777" w:rsidR="00DD57B0" w:rsidRPr="00985B97" w:rsidRDefault="00DD57B0" w:rsidP="00985B97">
      <w:pPr>
        <w:pBdr>
          <w:top w:val="nil"/>
          <w:left w:val="nil"/>
          <w:bottom w:val="nil"/>
          <w:right w:val="nil"/>
          <w:between w:val="nil"/>
        </w:pBdr>
        <w:spacing w:before="240" w:after="0"/>
        <w:jc w:val="both"/>
        <w:rPr>
          <w:rFonts w:asciiTheme="majorHAnsi" w:hAnsiTheme="majorHAnsi" w:cstheme="majorHAnsi"/>
          <w:lang w:val="es-ES"/>
        </w:rPr>
      </w:pPr>
    </w:p>
    <w:p w14:paraId="297A1D5E" w14:textId="77777777" w:rsidR="00655004" w:rsidRPr="00985B97" w:rsidRDefault="527FBCD0" w:rsidP="00A86834">
      <w:pPr>
        <w:pStyle w:val="Ttulo1"/>
      </w:pPr>
      <w:bookmarkStart w:id="207" w:name="_Toc235092577"/>
      <w:bookmarkStart w:id="208" w:name="_Toc235108021"/>
      <w:r w:rsidRPr="00985B97">
        <w:lastRenderedPageBreak/>
        <w:t>Capítulo 2</w:t>
      </w:r>
      <w:r w:rsidR="00B829C8" w:rsidRPr="00985B97">
        <w:t>. Análisis de solicitudes del Congreso de la República al Ministerio de Minas y Energía</w:t>
      </w:r>
      <w:bookmarkEnd w:id="207"/>
      <w:bookmarkEnd w:id="208"/>
    </w:p>
    <w:p w14:paraId="4CC56DBF" w14:textId="77777777" w:rsidR="00222BBC" w:rsidRPr="00985B97" w:rsidRDefault="5F9BBBC4" w:rsidP="00985B97">
      <w:pPr>
        <w:jc w:val="both"/>
        <w:rPr>
          <w:rFonts w:asciiTheme="majorHAnsi" w:hAnsiTheme="majorHAnsi" w:cstheme="majorHAnsi"/>
        </w:rPr>
      </w:pPr>
      <w:r w:rsidRPr="00985B97">
        <w:rPr>
          <w:rFonts w:asciiTheme="majorHAnsi" w:hAnsiTheme="majorHAnsi" w:cstheme="majorHAnsi"/>
        </w:rPr>
        <w:t>El Ministerio de Minas y Energía, en su interacción con el Congreso de la República, enfrenta obstáculos derivados de debilidades estructurales en la forma como gestiona su relacionamiento legislativo, haciendo necesaria la comprensión de las limitaciones del análisis estratégico legislativo. Por lo anterior, este capítulo se propone identificar y examinar dichas debilidades, entendidas como factores que restringen la capacidad institucional para posicionar la agenda del sector minero-energético y consolidar la política pública de transición energética. El análisis permitirá establecer cómo estas falencias condicionan la dinámica de interacción y explican la fragmentación de la relación entre ambas instancias.</w:t>
      </w:r>
    </w:p>
    <w:p w14:paraId="4D1026FB" w14:textId="77777777" w:rsidR="00222BBC" w:rsidRPr="00985B97" w:rsidRDefault="00F51464" w:rsidP="00985B97">
      <w:pPr>
        <w:pStyle w:val="Ttulo2"/>
        <w:rPr>
          <w:rFonts w:asciiTheme="majorHAnsi" w:hAnsiTheme="majorHAnsi" w:cstheme="majorHAnsi"/>
          <w:sz w:val="22"/>
          <w:szCs w:val="22"/>
        </w:rPr>
      </w:pPr>
      <w:bookmarkStart w:id="209" w:name="_Toc235092578"/>
      <w:bookmarkStart w:id="210" w:name="_Toc235108022"/>
      <w:r w:rsidRPr="00985B97">
        <w:rPr>
          <w:rFonts w:asciiTheme="majorHAnsi" w:hAnsiTheme="majorHAnsi" w:cstheme="majorHAnsi"/>
          <w:sz w:val="22"/>
          <w:szCs w:val="22"/>
        </w:rPr>
        <w:t xml:space="preserve">2.1 </w:t>
      </w:r>
      <w:r w:rsidR="00222BBC" w:rsidRPr="00985B97">
        <w:rPr>
          <w:rFonts w:asciiTheme="majorHAnsi" w:hAnsiTheme="majorHAnsi" w:cstheme="majorHAnsi"/>
          <w:sz w:val="22"/>
          <w:szCs w:val="22"/>
        </w:rPr>
        <w:t>Análisis documental</w:t>
      </w:r>
      <w:bookmarkEnd w:id="209"/>
      <w:bookmarkEnd w:id="210"/>
    </w:p>
    <w:p w14:paraId="7FB448EA"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El presente apartado tiene por objeto presentar de manera sistemática y crítica la recopilación documental y el análisis de los principales textos, debates e informes que han configurado la actividad legislativa y la relación entre el Congreso de la República y el Ministerio de Minas y Energía (MME) de Colombia durante el cuatrienio 2022-2026. Este ejercicio no se agota en una mera descripción archivística; por el contrario, busca identificar patrones de cooperación, puntos de tensión, cuellos de botella institucionales y buenas prácticas que puedan orientar una reforma de la gobernanza energética en el país.</w:t>
      </w:r>
    </w:p>
    <w:p w14:paraId="425E4220"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El desarrollo de una Transición Energética Justa (TEJ) no es viable sin la aprobación expedita de leyes habilitantes, sin la asignación de presupuestos adecuados y sin la construcción de consensos básicos entre las ramas del poder público. Sin embargo, la dinámica legislativa colombiana ha mostrado signos de estancamiento, fragmentación y descoordinación que este apartado documenta con fuentes primarias y secundarias.</w:t>
      </w:r>
    </w:p>
    <w:p w14:paraId="351BAF0D"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Para cumplir dicho propósito, se ha organizado la recopilación en torno a cinco ejes metodológicos que se desarrollan a lo largo de las secciones siguientes:</w:t>
      </w:r>
    </w:p>
    <w:p w14:paraId="02174F02" w14:textId="77777777" w:rsidR="00222BBC" w:rsidRPr="00985B97" w:rsidRDefault="007C40C2" w:rsidP="00985B97">
      <w:pPr>
        <w:pStyle w:val="Ttulo3"/>
        <w:rPr>
          <w:rFonts w:asciiTheme="majorHAnsi" w:hAnsiTheme="majorHAnsi" w:cstheme="majorHAnsi"/>
          <w:sz w:val="22"/>
          <w:szCs w:val="22"/>
        </w:rPr>
      </w:pPr>
      <w:bookmarkStart w:id="211" w:name="_Toc235092579"/>
      <w:bookmarkStart w:id="212" w:name="_Toc235108023"/>
      <w:r w:rsidRPr="00985B97">
        <w:rPr>
          <w:rFonts w:asciiTheme="majorHAnsi" w:hAnsiTheme="majorHAnsi" w:cstheme="majorHAnsi"/>
          <w:sz w:val="22"/>
          <w:szCs w:val="22"/>
        </w:rPr>
        <w:lastRenderedPageBreak/>
        <w:t>2.1.1</w:t>
      </w:r>
      <w:r w:rsidR="00222BBC" w:rsidRPr="00985B97">
        <w:rPr>
          <w:rFonts w:asciiTheme="majorHAnsi" w:hAnsiTheme="majorHAnsi" w:cstheme="majorHAnsi"/>
          <w:sz w:val="22"/>
          <w:szCs w:val="22"/>
        </w:rPr>
        <w:t xml:space="preserve"> Análisis solicitudes Grupo de Asuntos </w:t>
      </w:r>
      <w:r w:rsidR="001D4B0A" w:rsidRPr="00985B97">
        <w:rPr>
          <w:rFonts w:asciiTheme="majorHAnsi" w:hAnsiTheme="majorHAnsi" w:cstheme="majorHAnsi"/>
          <w:sz w:val="22"/>
          <w:szCs w:val="22"/>
        </w:rPr>
        <w:t>legislativo</w:t>
      </w:r>
      <w:r w:rsidR="00222BBC" w:rsidRPr="00985B97">
        <w:rPr>
          <w:rFonts w:asciiTheme="majorHAnsi" w:hAnsiTheme="majorHAnsi" w:cstheme="majorHAnsi"/>
          <w:sz w:val="22"/>
          <w:szCs w:val="22"/>
        </w:rPr>
        <w:t>s 2022 – 2026</w:t>
      </w:r>
      <w:bookmarkEnd w:id="211"/>
      <w:bookmarkEnd w:id="212"/>
    </w:p>
    <w:p w14:paraId="533EA591" w14:textId="77777777" w:rsidR="00222BBC" w:rsidRPr="00985B97" w:rsidRDefault="00222BBC" w:rsidP="00985B97">
      <w:pPr>
        <w:spacing w:after="0"/>
        <w:jc w:val="both"/>
        <w:rPr>
          <w:rFonts w:asciiTheme="majorHAnsi" w:hAnsiTheme="majorHAnsi" w:cstheme="majorHAnsi"/>
        </w:rPr>
      </w:pPr>
      <w:r w:rsidRPr="00985B97">
        <w:rPr>
          <w:rFonts w:asciiTheme="majorHAnsi" w:hAnsiTheme="majorHAnsi" w:cstheme="majorHAnsi"/>
        </w:rPr>
        <w:t>En este apartado se presentarán los hallazgos identificados en la matriz de solicitudes de información enviadas por el Congreso de la República al Ministerio de Minas y Energía, correspondientes a las ocho legislaturas (del 20 de julio al 16 de diciembre y del 16 de febrero al 20 de junio) del periodo de gobierno del presidente Gustavo Petro 2022–2026.</w:t>
      </w:r>
    </w:p>
    <w:p w14:paraId="25627B1B" w14:textId="77777777" w:rsidR="00222BBC" w:rsidRPr="00985B97" w:rsidRDefault="00222BBC" w:rsidP="00985B97">
      <w:pPr>
        <w:spacing w:after="0"/>
        <w:jc w:val="both"/>
        <w:rPr>
          <w:rFonts w:asciiTheme="majorHAnsi" w:hAnsiTheme="majorHAnsi" w:cstheme="majorHAnsi"/>
        </w:rPr>
      </w:pPr>
    </w:p>
    <w:p w14:paraId="4E19739B" w14:textId="77777777" w:rsidR="00222BBC" w:rsidRPr="00985B97" w:rsidRDefault="00222BBC" w:rsidP="00985B97">
      <w:pPr>
        <w:spacing w:after="0"/>
        <w:jc w:val="both"/>
        <w:rPr>
          <w:rFonts w:asciiTheme="majorHAnsi" w:hAnsiTheme="majorHAnsi" w:cstheme="majorHAnsi"/>
          <w:b/>
          <w:bCs/>
        </w:rPr>
      </w:pPr>
      <w:r w:rsidRPr="00985B97">
        <w:rPr>
          <w:rFonts w:asciiTheme="majorHAnsi" w:hAnsiTheme="majorHAnsi" w:cstheme="majorHAnsi"/>
          <w:b/>
          <w:bCs/>
        </w:rPr>
        <w:t>Figura 1</w:t>
      </w:r>
    </w:p>
    <w:p w14:paraId="4174CF02" w14:textId="77777777" w:rsidR="00222BBC" w:rsidRPr="00985B97" w:rsidRDefault="00222BBC" w:rsidP="00985B97">
      <w:pPr>
        <w:spacing w:after="0"/>
        <w:jc w:val="both"/>
        <w:rPr>
          <w:rFonts w:asciiTheme="majorHAnsi" w:hAnsiTheme="majorHAnsi" w:cstheme="majorHAnsi"/>
          <w:b/>
          <w:bCs/>
        </w:rPr>
      </w:pPr>
      <w:r w:rsidRPr="00985B97">
        <w:rPr>
          <w:rFonts w:asciiTheme="majorHAnsi" w:hAnsiTheme="majorHAnsi" w:cstheme="majorHAnsi"/>
          <w:b/>
          <w:bCs/>
        </w:rPr>
        <w:t>Solicitudes de información del Congreso al GAL – MME 2022-2026</w:t>
      </w:r>
    </w:p>
    <w:p w14:paraId="3936676E" w14:textId="77777777" w:rsidR="00222BBC" w:rsidRPr="00985B97" w:rsidRDefault="00222BBC" w:rsidP="00985B97">
      <w:pPr>
        <w:spacing w:after="0"/>
        <w:jc w:val="both"/>
        <w:rPr>
          <w:rFonts w:asciiTheme="majorHAnsi" w:hAnsiTheme="majorHAnsi" w:cstheme="majorHAnsi"/>
        </w:rPr>
      </w:pPr>
      <w:r w:rsidRPr="00985B97">
        <w:rPr>
          <w:rFonts w:asciiTheme="majorHAnsi" w:hAnsiTheme="majorHAnsi" w:cstheme="majorHAnsi"/>
          <w:noProof/>
        </w:rPr>
        <w:drawing>
          <wp:inline distT="0" distB="0" distL="0" distR="0" wp14:anchorId="27F5935F" wp14:editId="13236095">
            <wp:extent cx="4968670" cy="2324302"/>
            <wp:effectExtent l="0" t="0" r="0" b="0"/>
            <wp:docPr id="11791979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197962" name="Picture 1179197962"/>
                    <pic:cNvPicPr/>
                  </pic:nvPicPr>
                  <pic:blipFill>
                    <a:blip r:embed="rId71">
                      <a:extLst>
                        <a:ext uri="{28A0092B-C50C-407E-A947-70E740481C1C}">
                          <a14:useLocalDpi xmlns:a14="http://schemas.microsoft.com/office/drawing/2010/main"/>
                        </a:ext>
                      </a:extLst>
                    </a:blip>
                    <a:stretch>
                      <a:fillRect/>
                    </a:stretch>
                  </pic:blipFill>
                  <pic:spPr>
                    <a:xfrm>
                      <a:off x="0" y="0"/>
                      <a:ext cx="4968670" cy="2324302"/>
                    </a:xfrm>
                    <a:prstGeom prst="rect">
                      <a:avLst/>
                    </a:prstGeom>
                  </pic:spPr>
                </pic:pic>
              </a:graphicData>
            </a:graphic>
          </wp:inline>
        </w:drawing>
      </w:r>
    </w:p>
    <w:p w14:paraId="772AA96B"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Fuente: Elaboración propia. Basado en: MME – GAL. Registro de solicitudes Congreso 2022-2026 con corte al 30/06/2026.</w:t>
      </w:r>
    </w:p>
    <w:p w14:paraId="3AB2727F"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 xml:space="preserve">Cabe resaltar que el procedimiento para el registro de solicitudes del Grupo de Asuntos </w:t>
      </w:r>
      <w:r w:rsidR="001D4B0A" w:rsidRPr="00985B97">
        <w:rPr>
          <w:rFonts w:asciiTheme="majorHAnsi" w:hAnsiTheme="majorHAnsi" w:cstheme="majorHAnsi"/>
        </w:rPr>
        <w:t>legislativo</w:t>
      </w:r>
      <w:r w:rsidRPr="00985B97">
        <w:rPr>
          <w:rFonts w:asciiTheme="majorHAnsi" w:hAnsiTheme="majorHAnsi" w:cstheme="majorHAnsi"/>
        </w:rPr>
        <w:t>s fue modificado en 2024, con el fin de crear un espacio que concentrara la gestión del relacionamiento entre el Ministerio y el Congreso y permitiera fortalecer el seguimiento sistemático de la actividad legislativa frente al sector minero</w:t>
      </w:r>
      <w:r w:rsidRPr="00985B97">
        <w:rPr>
          <w:rFonts w:asciiTheme="majorHAnsi" w:hAnsiTheme="majorHAnsi" w:cstheme="majorHAnsi"/>
        </w:rPr>
        <w:noBreakHyphen/>
        <w:t xml:space="preserve">energético. En el último año, es decir, en las dos últimas legislaturas entre el segundo semestre de 2025 y el primer semestre de 2026, periodo en el cual se configuró la estrategia de relacionamiento con el Congreso actual, el número de solicitudes descendió en un 33%, pasando de 429 a 289 en comparación con el mismo periodo de 2024 (segunda y primera legislatura). Este descenso no sólo refleja una variación cuantitativa en la demanda de información, sino también el impacto inicial de una </w:t>
      </w:r>
      <w:r w:rsidRPr="00985B97">
        <w:rPr>
          <w:rFonts w:asciiTheme="majorHAnsi" w:hAnsiTheme="majorHAnsi" w:cstheme="majorHAnsi"/>
        </w:rPr>
        <w:lastRenderedPageBreak/>
        <w:t xml:space="preserve">estrategia de relacionamiento más estructurada, orientada a ordenar las interacciones con el </w:t>
      </w:r>
      <w:r w:rsidR="001D4B0A" w:rsidRPr="00985B97">
        <w:rPr>
          <w:rFonts w:asciiTheme="majorHAnsi" w:hAnsiTheme="majorHAnsi" w:cstheme="majorHAnsi"/>
        </w:rPr>
        <w:t>legislativo</w:t>
      </w:r>
      <w:r w:rsidRPr="00985B97">
        <w:rPr>
          <w:rFonts w:asciiTheme="majorHAnsi" w:hAnsiTheme="majorHAnsi" w:cstheme="majorHAnsi"/>
        </w:rPr>
        <w:t xml:space="preserve"> y a anticipar sus requerimientos.</w:t>
      </w:r>
    </w:p>
    <w:p w14:paraId="6ADF3917"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Tabla 1</w:t>
      </w:r>
    </w:p>
    <w:p w14:paraId="109E2816"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Solicitudes presentadas por partidos políticos al GAL – MME 2022-2026</w:t>
      </w:r>
    </w:p>
    <w:tbl>
      <w:tblPr>
        <w:tblStyle w:val="Tablaconcuadrcula3-nfasis4"/>
        <w:tblW w:w="0" w:type="auto"/>
        <w:tblLook w:val="04A0" w:firstRow="1" w:lastRow="0" w:firstColumn="1" w:lastColumn="0" w:noHBand="0" w:noVBand="1"/>
      </w:tblPr>
      <w:tblGrid>
        <w:gridCol w:w="2509"/>
        <w:gridCol w:w="1188"/>
        <w:gridCol w:w="1245"/>
        <w:gridCol w:w="1094"/>
        <w:gridCol w:w="1213"/>
        <w:gridCol w:w="1028"/>
        <w:gridCol w:w="1057"/>
      </w:tblGrid>
      <w:tr w:rsidR="00222BBC" w:rsidRPr="00985B97" w14:paraId="2F30175D" w14:textId="77777777" w:rsidTr="003D3896">
        <w:trPr>
          <w:cnfStyle w:val="100000000000" w:firstRow="1" w:lastRow="0" w:firstColumn="0" w:lastColumn="0" w:oddVBand="0" w:evenVBand="0" w:oddHBand="0" w:evenHBand="0" w:firstRowFirstColumn="0" w:firstRowLastColumn="0" w:lastRowFirstColumn="0" w:lastRowLastColumn="0"/>
          <w:trHeight w:val="285"/>
        </w:trPr>
        <w:tc>
          <w:tcPr>
            <w:cnfStyle w:val="001000000100" w:firstRow="0" w:lastRow="0" w:firstColumn="1" w:lastColumn="0" w:oddVBand="0" w:evenVBand="0" w:oddHBand="0" w:evenHBand="0" w:firstRowFirstColumn="1" w:firstRowLastColumn="0" w:lastRowFirstColumn="0" w:lastRowLastColumn="0"/>
            <w:tcW w:w="2509" w:type="dxa"/>
            <w:tcBorders>
              <w:bottom w:val="single" w:sz="8" w:space="0" w:color="FFD966"/>
            </w:tcBorders>
            <w:tcMar>
              <w:left w:w="108" w:type="dxa"/>
              <w:right w:w="108" w:type="dxa"/>
            </w:tcMar>
          </w:tcPr>
          <w:p w14:paraId="1E7489DE"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Partido político</w:t>
            </w:r>
          </w:p>
        </w:tc>
        <w:tc>
          <w:tcPr>
            <w:tcW w:w="1188" w:type="dxa"/>
            <w:tcBorders>
              <w:bottom w:val="single" w:sz="8" w:space="0" w:color="FFD966"/>
            </w:tcBorders>
            <w:tcMar>
              <w:left w:w="108" w:type="dxa"/>
              <w:right w:w="108" w:type="dxa"/>
            </w:tcMar>
          </w:tcPr>
          <w:p w14:paraId="77D9D420" w14:textId="77777777" w:rsidR="00222BBC" w:rsidRPr="00985B97" w:rsidRDefault="00222BBC" w:rsidP="00985B97">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2023</w:t>
            </w:r>
          </w:p>
        </w:tc>
        <w:tc>
          <w:tcPr>
            <w:tcW w:w="1245" w:type="dxa"/>
            <w:tcBorders>
              <w:bottom w:val="single" w:sz="8" w:space="0" w:color="FFD966"/>
            </w:tcBorders>
            <w:tcMar>
              <w:left w:w="108" w:type="dxa"/>
              <w:right w:w="108" w:type="dxa"/>
            </w:tcMar>
          </w:tcPr>
          <w:p w14:paraId="7AABBE97" w14:textId="77777777" w:rsidR="00222BBC" w:rsidRPr="00985B97" w:rsidRDefault="00222BBC" w:rsidP="00985B97">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2024</w:t>
            </w:r>
          </w:p>
        </w:tc>
        <w:tc>
          <w:tcPr>
            <w:tcW w:w="1094" w:type="dxa"/>
            <w:tcBorders>
              <w:bottom w:val="single" w:sz="8" w:space="0" w:color="FFD966"/>
            </w:tcBorders>
            <w:tcMar>
              <w:left w:w="108" w:type="dxa"/>
              <w:right w:w="108" w:type="dxa"/>
            </w:tcMar>
          </w:tcPr>
          <w:p w14:paraId="29BBA782" w14:textId="77777777" w:rsidR="00222BBC" w:rsidRPr="00985B97" w:rsidRDefault="00222BBC" w:rsidP="00985B97">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2025</w:t>
            </w:r>
          </w:p>
        </w:tc>
        <w:tc>
          <w:tcPr>
            <w:tcW w:w="1213" w:type="dxa"/>
            <w:tcBorders>
              <w:bottom w:val="single" w:sz="8" w:space="0" w:color="FFD966"/>
            </w:tcBorders>
            <w:tcMar>
              <w:left w:w="108" w:type="dxa"/>
              <w:right w:w="108" w:type="dxa"/>
            </w:tcMar>
          </w:tcPr>
          <w:p w14:paraId="1F15FB6C" w14:textId="77777777" w:rsidR="00222BBC" w:rsidRPr="00985B97" w:rsidRDefault="00222BBC" w:rsidP="00985B97">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2026</w:t>
            </w:r>
          </w:p>
        </w:tc>
        <w:tc>
          <w:tcPr>
            <w:tcW w:w="1028" w:type="dxa"/>
            <w:tcBorders>
              <w:bottom w:val="single" w:sz="8" w:space="0" w:color="FFD966"/>
            </w:tcBorders>
            <w:tcMar>
              <w:left w:w="108" w:type="dxa"/>
              <w:right w:w="108" w:type="dxa"/>
            </w:tcMar>
          </w:tcPr>
          <w:p w14:paraId="295B25DE" w14:textId="77777777" w:rsidR="00222BBC" w:rsidRPr="00985B97" w:rsidRDefault="00222BBC" w:rsidP="00985B97">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Total</w:t>
            </w:r>
          </w:p>
        </w:tc>
        <w:tc>
          <w:tcPr>
            <w:tcW w:w="1057" w:type="dxa"/>
            <w:tcBorders>
              <w:bottom w:val="single" w:sz="8" w:space="0" w:color="FFD966"/>
            </w:tcBorders>
            <w:tcMar>
              <w:left w:w="108" w:type="dxa"/>
              <w:right w:w="108" w:type="dxa"/>
            </w:tcMar>
          </w:tcPr>
          <w:p w14:paraId="28C88201" w14:textId="77777777" w:rsidR="00222BBC" w:rsidRPr="00985B97" w:rsidRDefault="00222BBC" w:rsidP="00985B97">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w:t>
            </w:r>
          </w:p>
        </w:tc>
      </w:tr>
      <w:tr w:rsidR="00222BBC" w:rsidRPr="00985B97" w14:paraId="13D1D724"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single" w:sz="8" w:space="0" w:color="FFD966"/>
              <w:right w:val="single" w:sz="8" w:space="0" w:color="FFD966"/>
            </w:tcBorders>
            <w:tcMar>
              <w:left w:w="108" w:type="dxa"/>
              <w:right w:w="108" w:type="dxa"/>
            </w:tcMar>
          </w:tcPr>
          <w:p w14:paraId="62FD0AB2"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Centro democrático</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0904C8C"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16</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AD55054"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51</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4778C91"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82</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9587FA7"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17</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325EF81"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166</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161E66E"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21%</w:t>
            </w:r>
          </w:p>
        </w:tc>
      </w:tr>
      <w:tr w:rsidR="00222BBC" w:rsidRPr="00985B97" w14:paraId="5B7A9647"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743736FF"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Pacto histórico</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545DA50"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13</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3D4E456"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36</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94896B3"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84</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0CA3A99"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33</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936FD3D"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166</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D9DD829"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21%</w:t>
            </w:r>
          </w:p>
        </w:tc>
      </w:tr>
      <w:tr w:rsidR="00222BBC" w:rsidRPr="00985B97" w14:paraId="6665B949"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08E40587"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Verde</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EB4B674"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5C852A2"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32</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1171087"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44</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CE1F8A9"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10</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40D61A3"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90</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0674F9B"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11%</w:t>
            </w:r>
          </w:p>
        </w:tc>
      </w:tr>
      <w:tr w:rsidR="00222BBC" w:rsidRPr="00985B97" w14:paraId="63AD30F9"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67820666"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Cambio radical</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23C71F1"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7</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3EBD9D4"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36</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A108B75"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33</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7C2F880"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9</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DC3F6AE"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85</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1DB432F"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11%</w:t>
            </w:r>
          </w:p>
        </w:tc>
      </w:tr>
      <w:tr w:rsidR="00222BBC" w:rsidRPr="00985B97" w14:paraId="0DE9D41C"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063CA491"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Liberal</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F81F590"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7B67992"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14</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E628ADD"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49</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5761C4C"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5</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F286B8D"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70</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CB2AED5"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9%</w:t>
            </w:r>
          </w:p>
        </w:tc>
      </w:tr>
      <w:tr w:rsidR="00222BBC" w:rsidRPr="00985B97" w14:paraId="0B37500D"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5E7AE886"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Conservador</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C3738EB"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5</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D8F59D9"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14</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F76C8CD"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27</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B023AAF"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7</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F924016"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53</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8B17737"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7%</w:t>
            </w:r>
          </w:p>
        </w:tc>
      </w:tr>
      <w:tr w:rsidR="00222BBC" w:rsidRPr="00985B97" w14:paraId="63ECAB58"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6406B8BE"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La U</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0EA4FCD"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5</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8045232"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13</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8D24992"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22</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65D0DC1"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12</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AE562EE"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52</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D1118AF"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7%</w:t>
            </w:r>
          </w:p>
        </w:tc>
      </w:tr>
      <w:tr w:rsidR="00222BBC" w:rsidRPr="00985B97" w14:paraId="40AEC466"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09762A89"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CITREP</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54A7BE6"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57FEDE2"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11</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7D5F44E"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22</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60A422E"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299C3A4"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39</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FF337C1"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5%</w:t>
            </w:r>
          </w:p>
        </w:tc>
      </w:tr>
      <w:tr w:rsidR="00222BBC" w:rsidRPr="00985B97" w14:paraId="10454895"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0BB15C5E"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MIRA</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E31376D"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12809B2"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5</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808B4DF"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7</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10FCC98"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5</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628A72E"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19</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0A25FE3"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r>
      <w:tr w:rsidR="00222BBC" w:rsidRPr="00985B97" w14:paraId="1570DD67"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4CFE29AF"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Comunes</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D920932"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 xml:space="preserve"> </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677AF35"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5</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889819B"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10</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E3E1329"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3</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E7215C4"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18</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9B9BC12"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r>
      <w:tr w:rsidR="00222BBC" w:rsidRPr="00985B97" w14:paraId="799DD5E1"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25EA6A3F"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N/A</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CFAC4B6"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 xml:space="preserve"> </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B593B15"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93C5A9D"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6</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B6D058A"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07A4411"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9</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D921E36"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r>
      <w:tr w:rsidR="00222BBC" w:rsidRPr="00985B97" w14:paraId="02C9B731"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372317E4"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Centro esperanza</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858691B"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2C5247F"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016075B"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8252B7E"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 xml:space="preserve"> </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50236F2"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6</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102C845"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r>
      <w:tr w:rsidR="00222BBC" w:rsidRPr="00985B97" w14:paraId="7E03F953"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0F858827"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Afro</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0C5003D"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 xml:space="preserve"> </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0A6D3E3"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B1BA05A"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3</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DE38451"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C581FA6"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6</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BC2DF78"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r>
      <w:tr w:rsidR="00222BBC" w:rsidRPr="00985B97" w14:paraId="3D92F863"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7980D35E"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Fuerza ciudadana</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E39C4D8"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9416A82"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D9FE77A"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3</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A7FFC86"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 xml:space="preserve"> </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B078C47"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6</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B9D5356"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r>
      <w:tr w:rsidR="00222BBC" w:rsidRPr="00985B97" w14:paraId="3F230836"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4A4FC841"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Liga anticorrupción</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1C23ABB"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 xml:space="preserve"> </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353FEF6"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868F3EB"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D623BF6"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 xml:space="preserve"> </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CA3320B"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BC3BC7F"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r>
      <w:tr w:rsidR="00222BBC" w:rsidRPr="00985B97" w14:paraId="79880853"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3DFEE2AC"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Verde-oxígeno</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64ABF44"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 xml:space="preserve"> </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C988B4A"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3246BD3"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 xml:space="preserve"> </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749649A"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 xml:space="preserve"> </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5A557F7"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32C676A"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0%</w:t>
            </w:r>
          </w:p>
        </w:tc>
      </w:tr>
      <w:tr w:rsidR="00222BBC" w:rsidRPr="00985B97" w14:paraId="14FA3E15"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72B4488B"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MAIS</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94FE806"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 xml:space="preserve"> </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984D478"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 xml:space="preserve"> </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7D7D277"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DB1F507"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F11C031"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7070FE9"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0%</w:t>
            </w:r>
          </w:p>
        </w:tc>
      </w:tr>
      <w:tr w:rsidR="00222BBC" w:rsidRPr="00985B97" w14:paraId="6FB5BFFD"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5F2C5656"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AICO</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2F90F9D"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 xml:space="preserve"> </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7D8C2DD"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1B88768"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F2F6292"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 xml:space="preserve"> </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7E540F2"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0F986D1"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0%</w:t>
            </w:r>
          </w:p>
        </w:tc>
      </w:tr>
      <w:tr w:rsidR="00222BBC" w:rsidRPr="00985B97" w14:paraId="336D5111"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2A93325D"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Colombia justa libres</w:t>
            </w:r>
          </w:p>
        </w:tc>
        <w:tc>
          <w:tcPr>
            <w:tcW w:w="118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BFFF186"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 xml:space="preserve"> </w:t>
            </w:r>
          </w:p>
        </w:tc>
        <w:tc>
          <w:tcPr>
            <w:tcW w:w="124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4E1966B"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 xml:space="preserve"> </w:t>
            </w:r>
          </w:p>
        </w:tc>
        <w:tc>
          <w:tcPr>
            <w:tcW w:w="1094"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D5460B5"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1213"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90EF7CA"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 xml:space="preserve"> </w:t>
            </w:r>
          </w:p>
        </w:tc>
        <w:tc>
          <w:tcPr>
            <w:tcW w:w="1028"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E44D9EC"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1057"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2690EE6"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0%</w:t>
            </w:r>
          </w:p>
        </w:tc>
      </w:tr>
      <w:tr w:rsidR="00222BBC" w:rsidRPr="00985B97" w14:paraId="6B167F7A"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2509" w:type="dxa"/>
            <w:tcBorders>
              <w:right w:val="single" w:sz="8" w:space="0" w:color="FFD966"/>
            </w:tcBorders>
            <w:tcMar>
              <w:left w:w="108" w:type="dxa"/>
              <w:right w:w="108" w:type="dxa"/>
            </w:tcMar>
          </w:tcPr>
          <w:p w14:paraId="03CBC5E8" w14:textId="77777777" w:rsidR="00222BBC" w:rsidRPr="00985B97" w:rsidRDefault="00222BBC" w:rsidP="00985B97">
            <w:pPr>
              <w:rPr>
                <w:rFonts w:asciiTheme="majorHAnsi" w:hAnsiTheme="majorHAnsi" w:cstheme="majorHAnsi"/>
              </w:rPr>
            </w:pPr>
            <w:r w:rsidRPr="00985B97">
              <w:rPr>
                <w:rFonts w:asciiTheme="majorHAnsi" w:hAnsiTheme="majorHAnsi" w:cstheme="majorHAnsi"/>
                <w:b/>
                <w:bCs/>
                <w:color w:val="000000" w:themeColor="text1"/>
              </w:rPr>
              <w:t>Total</w:t>
            </w:r>
          </w:p>
        </w:tc>
        <w:tc>
          <w:tcPr>
            <w:tcW w:w="118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B7408C2"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b/>
                <w:bCs/>
                <w:color w:val="000000" w:themeColor="text1"/>
              </w:rPr>
              <w:t>60</w:t>
            </w:r>
          </w:p>
        </w:tc>
        <w:tc>
          <w:tcPr>
            <w:tcW w:w="124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D80CC25"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b/>
                <w:bCs/>
                <w:color w:val="000000" w:themeColor="text1"/>
              </w:rPr>
              <w:t>232</w:t>
            </w:r>
          </w:p>
        </w:tc>
        <w:tc>
          <w:tcPr>
            <w:tcW w:w="1094"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124A733"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b/>
                <w:bCs/>
                <w:color w:val="000000" w:themeColor="text1"/>
              </w:rPr>
              <w:t>398</w:t>
            </w:r>
          </w:p>
        </w:tc>
        <w:tc>
          <w:tcPr>
            <w:tcW w:w="1213"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62EF776"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b/>
                <w:bCs/>
                <w:color w:val="000000" w:themeColor="text1"/>
              </w:rPr>
              <w:t>106</w:t>
            </w:r>
          </w:p>
        </w:tc>
        <w:tc>
          <w:tcPr>
            <w:tcW w:w="1028"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2D862F5"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b/>
                <w:bCs/>
                <w:color w:val="000000" w:themeColor="text1"/>
              </w:rPr>
              <w:t>796</w:t>
            </w:r>
          </w:p>
        </w:tc>
        <w:tc>
          <w:tcPr>
            <w:tcW w:w="1057"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258FE09"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b/>
                <w:bCs/>
                <w:color w:val="000000" w:themeColor="text1"/>
              </w:rPr>
              <w:t>100%</w:t>
            </w:r>
          </w:p>
        </w:tc>
      </w:tr>
    </w:tbl>
    <w:p w14:paraId="592564DA"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Fuente: Elaboración propia. Basado en: MME – GAL. Registro de solicitudes Congreso 2022-2026 con corte al 30/06/2026.</w:t>
      </w:r>
    </w:p>
    <w:p w14:paraId="0A9AF104"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lastRenderedPageBreak/>
        <w:t xml:space="preserve">Los partidos políticos que realizaron más solicitudes de información al Ministerio fueron el Centro democrático y el Pacto histórico en la misma proporción (166 peticiones), seguidos del partido Verde con 90, Cambio radical con 85, el partido Liberal con 70, el partido Conservador con 53 y el partido de La U con 52 peticiones. Esta concentración en fuerzas políticas con posiciones divergentes frente a la agenda gubernamental sugiere que el Ministerio se convierte en un espacio de disputa informacional entre oficialismo y oposición, lo cual exige un análisis estratégico legislativo capaz de responder de manera coherente a demandas diferenciadas sin profundizar la fragmentación de la relación </w:t>
      </w:r>
      <w:r w:rsidR="001D4B0A" w:rsidRPr="00985B97">
        <w:rPr>
          <w:rFonts w:asciiTheme="majorHAnsi" w:hAnsiTheme="majorHAnsi" w:cstheme="majorHAnsi"/>
        </w:rPr>
        <w:t>ejecutivo</w:t>
      </w:r>
      <w:r w:rsidRPr="00985B97">
        <w:rPr>
          <w:rFonts w:asciiTheme="majorHAnsi" w:hAnsiTheme="majorHAnsi" w:cstheme="majorHAnsi"/>
        </w:rPr>
        <w:noBreakHyphen/>
      </w:r>
      <w:r w:rsidR="001D4B0A" w:rsidRPr="00985B97">
        <w:rPr>
          <w:rFonts w:asciiTheme="majorHAnsi" w:hAnsiTheme="majorHAnsi" w:cstheme="majorHAnsi"/>
        </w:rPr>
        <w:t>legislativo</w:t>
      </w:r>
      <w:r w:rsidRPr="00985B97">
        <w:rPr>
          <w:rFonts w:asciiTheme="majorHAnsi" w:hAnsiTheme="majorHAnsi" w:cstheme="majorHAnsi"/>
        </w:rPr>
        <w:t>.</w:t>
      </w:r>
    </w:p>
    <w:p w14:paraId="751CD68E"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Figura 2</w:t>
      </w:r>
    </w:p>
    <w:p w14:paraId="6E5FF6F3"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Congresistas con más solicitudes de información al GAL – MME 2022-2026</w:t>
      </w:r>
    </w:p>
    <w:p w14:paraId="7291C1BC"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noProof/>
        </w:rPr>
        <w:drawing>
          <wp:inline distT="0" distB="0" distL="0" distR="0" wp14:anchorId="4F3CE907" wp14:editId="6EC49485">
            <wp:extent cx="5121084" cy="4054191"/>
            <wp:effectExtent l="0" t="0" r="0" b="0"/>
            <wp:docPr id="4753604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360478" name="Picture 475360478"/>
                    <pic:cNvPicPr/>
                  </pic:nvPicPr>
                  <pic:blipFill>
                    <a:blip r:embed="rId72">
                      <a:extLst>
                        <a:ext uri="{28A0092B-C50C-407E-A947-70E740481C1C}">
                          <a14:useLocalDpi xmlns:a14="http://schemas.microsoft.com/office/drawing/2010/main"/>
                        </a:ext>
                      </a:extLst>
                    </a:blip>
                    <a:stretch>
                      <a:fillRect/>
                    </a:stretch>
                  </pic:blipFill>
                  <pic:spPr>
                    <a:xfrm>
                      <a:off x="0" y="0"/>
                      <a:ext cx="5121084" cy="4054191"/>
                    </a:xfrm>
                    <a:prstGeom prst="rect">
                      <a:avLst/>
                    </a:prstGeom>
                  </pic:spPr>
                </pic:pic>
              </a:graphicData>
            </a:graphic>
          </wp:inline>
        </w:drawing>
      </w:r>
    </w:p>
    <w:p w14:paraId="5CC23411"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Fuente: Elaboración propia. Basado en: MME – GAL. Registro de solicitudes Congreso 2022-2026 con corte al 30/06/2026.</w:t>
      </w:r>
    </w:p>
    <w:p w14:paraId="21546A3C"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lastRenderedPageBreak/>
        <w:t>Entre los 20 congresistas que concentraron el mayor porcentaje de solicitudes al Ministerio en el último cuatrienio (38%), se encuentran Paloma Valencia (31), María Fernanda Cabal (27) y Paola Holguín (23), todas pertenecientes al Centro democrático. La presencia dominante de congresistas de oposición en el grupo de mayores solicitantes indica que las solicitudes de información operan como un mecanismo de control y escrutinio permanente sobre la gestión del sector minero</w:t>
      </w:r>
      <w:r w:rsidRPr="00985B97">
        <w:rPr>
          <w:rFonts w:asciiTheme="majorHAnsi" w:hAnsiTheme="majorHAnsi" w:cstheme="majorHAnsi"/>
        </w:rPr>
        <w:noBreakHyphen/>
        <w:t>energético, lo que refuerza la necesidad de contar con capacidades institucionales de análisis legislativo que permitan procesar estas demandas sin reducir la relación a un intercambio reactivo y personalista.</w:t>
      </w:r>
    </w:p>
    <w:p w14:paraId="3E7C5584"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Figura 3</w:t>
      </w:r>
    </w:p>
    <w:p w14:paraId="42E97B00"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Solicitudes de información del Congreso al GAL - MME por corporación 2022-2026</w:t>
      </w:r>
    </w:p>
    <w:p w14:paraId="122084DF"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noProof/>
        </w:rPr>
        <w:drawing>
          <wp:inline distT="0" distB="0" distL="0" distR="0" wp14:anchorId="0682B080" wp14:editId="5EB9CD7A">
            <wp:extent cx="3063505" cy="1806097"/>
            <wp:effectExtent l="0" t="0" r="0" b="0"/>
            <wp:docPr id="6300216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21646" name="Picture 630021646"/>
                    <pic:cNvPicPr/>
                  </pic:nvPicPr>
                  <pic:blipFill>
                    <a:blip r:embed="rId73">
                      <a:extLst>
                        <a:ext uri="{28A0092B-C50C-407E-A947-70E740481C1C}">
                          <a14:useLocalDpi xmlns:a14="http://schemas.microsoft.com/office/drawing/2010/main"/>
                        </a:ext>
                      </a:extLst>
                    </a:blip>
                    <a:stretch>
                      <a:fillRect/>
                    </a:stretch>
                  </pic:blipFill>
                  <pic:spPr>
                    <a:xfrm>
                      <a:off x="0" y="0"/>
                      <a:ext cx="3063505" cy="1806097"/>
                    </a:xfrm>
                    <a:prstGeom prst="rect">
                      <a:avLst/>
                    </a:prstGeom>
                  </pic:spPr>
                </pic:pic>
              </a:graphicData>
            </a:graphic>
          </wp:inline>
        </w:drawing>
      </w:r>
    </w:p>
    <w:p w14:paraId="049618A3"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Fuente: Elaboración propia. Basado en: MME – GAL. Registro de solicitudes Congreso 2022-2026 con corte al 30/06/2026.</w:t>
      </w:r>
    </w:p>
    <w:p w14:paraId="0D3BCC7B"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La corporación que realizó más solicitudes al Ministerio fue la Cámara de Representantes (444), seguido del Senado (331) y otras entidades (21). Este predominio de la Cámara está alineado con su vínculo más directo con los territorios, lo que refuerza la idea de que las solicitudes de información canalizan preocupaciones locales sobre proyectos y recursos y ubican al Ministerio como un actor clave en la gobernanza multinivel de la transición energética justa.</w:t>
      </w:r>
    </w:p>
    <w:p w14:paraId="4A20450D"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Figura 4</w:t>
      </w:r>
    </w:p>
    <w:p w14:paraId="5305F0AB"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Palabras más frecuentes en solicitudes de información del Congreso al GAL – MME 2022-2026</w:t>
      </w:r>
    </w:p>
    <w:p w14:paraId="25EEAE02"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noProof/>
        </w:rPr>
        <w:lastRenderedPageBreak/>
        <w:drawing>
          <wp:inline distT="0" distB="0" distL="0" distR="0" wp14:anchorId="190CBD41" wp14:editId="18C52ABA">
            <wp:extent cx="5614902" cy="2859272"/>
            <wp:effectExtent l="0" t="0" r="0" b="0"/>
            <wp:docPr id="171134541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345416" name="Picture 1711345416"/>
                    <pic:cNvPicPr/>
                  </pic:nvPicPr>
                  <pic:blipFill>
                    <a:blip r:embed="rId74">
                      <a:extLst>
                        <a:ext uri="{28A0092B-C50C-407E-A947-70E740481C1C}">
                          <a14:useLocalDpi xmlns:a14="http://schemas.microsoft.com/office/drawing/2010/main"/>
                        </a:ext>
                      </a:extLst>
                    </a:blip>
                    <a:stretch>
                      <a:fillRect/>
                    </a:stretch>
                  </pic:blipFill>
                  <pic:spPr>
                    <a:xfrm>
                      <a:off x="0" y="0"/>
                      <a:ext cx="5614902" cy="2859272"/>
                    </a:xfrm>
                    <a:prstGeom prst="rect">
                      <a:avLst/>
                    </a:prstGeom>
                  </pic:spPr>
                </pic:pic>
              </a:graphicData>
            </a:graphic>
          </wp:inline>
        </w:drawing>
      </w:r>
    </w:p>
    <w:p w14:paraId="50964D0E"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Fuente: Elaboración propia. Basado en: MME – GAL. Registro de solicitudes Congreso 2022-2026 con corte al 30/06/2026.</w:t>
      </w:r>
    </w:p>
    <w:p w14:paraId="3116F31F"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Las palabras con mayor frecuencia en las solicitudes son proyecto, municipio y recurso, lo que indica que la mayoría de las solicitudes de información se enfocan en el seguimiento a la ejecución de proyectos y recursos comprometidos a nivel territorial. En un segundo nivel se encuentran las palabras minas, energía, contrato y empresa, que remiten a la articulación entre actores empresariales y decisiones sectoriales. En tercer nivel se ubican términos como departamento, programa y proceso, que apuntan a la dimensión programática y procedimental de la política pública. En conjunto, este patrón léxico sugiere que la relación Congreso–Ministerio se estructura alrededor del control sobre la distribución territorial de recursos y proyectos del sector, dimensión central para comprender la gobernanza de una transición energética justa.</w:t>
      </w:r>
    </w:p>
    <w:p w14:paraId="5879A85A"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Figura 5</w:t>
      </w:r>
    </w:p>
    <w:p w14:paraId="4E3C7875"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Temas más frecuentes en solicitudes de información del Congreso al GAL – MME 2022-2026</w:t>
      </w:r>
    </w:p>
    <w:p w14:paraId="00E612B3"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noProof/>
        </w:rPr>
        <w:lastRenderedPageBreak/>
        <w:drawing>
          <wp:inline distT="0" distB="0" distL="0" distR="0" wp14:anchorId="5F04D951" wp14:editId="5811D7A9">
            <wp:extent cx="5639289" cy="3371380"/>
            <wp:effectExtent l="0" t="0" r="0" b="0"/>
            <wp:docPr id="10223336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333610" name="Picture 1022333610"/>
                    <pic:cNvPicPr/>
                  </pic:nvPicPr>
                  <pic:blipFill>
                    <a:blip r:embed="rId75">
                      <a:extLst>
                        <a:ext uri="{28A0092B-C50C-407E-A947-70E740481C1C}">
                          <a14:useLocalDpi xmlns:a14="http://schemas.microsoft.com/office/drawing/2010/main"/>
                        </a:ext>
                      </a:extLst>
                    </a:blip>
                    <a:stretch>
                      <a:fillRect/>
                    </a:stretch>
                  </pic:blipFill>
                  <pic:spPr>
                    <a:xfrm>
                      <a:off x="0" y="0"/>
                      <a:ext cx="5639289" cy="3371380"/>
                    </a:xfrm>
                    <a:prstGeom prst="rect">
                      <a:avLst/>
                    </a:prstGeom>
                  </pic:spPr>
                </pic:pic>
              </a:graphicData>
            </a:graphic>
          </wp:inline>
        </w:drawing>
      </w:r>
    </w:p>
    <w:p w14:paraId="1568099D"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Fuente: Elaboración propia. Basado en: MME – GAL. Registro de solicitudes Congreso 2022-2026 con corte al 30/06/2026.</w:t>
      </w:r>
    </w:p>
    <w:p w14:paraId="5345826F" w14:textId="77777777" w:rsidR="007C40C2" w:rsidRPr="00985B97" w:rsidRDefault="00222BBC" w:rsidP="00985B97">
      <w:pPr>
        <w:jc w:val="both"/>
        <w:rPr>
          <w:rFonts w:asciiTheme="majorHAnsi" w:hAnsiTheme="majorHAnsi" w:cstheme="majorHAnsi"/>
        </w:rPr>
      </w:pPr>
      <w:r w:rsidRPr="00985B97">
        <w:rPr>
          <w:rFonts w:asciiTheme="majorHAnsi" w:hAnsiTheme="majorHAnsi" w:cstheme="majorHAnsi"/>
        </w:rPr>
        <w:t xml:space="preserve">El tema de mayor consulta por los congresistas es “proyectos con afectación ambiental”, con 181 registros (22,8%). En segundo </w:t>
      </w:r>
      <w:proofErr w:type="gramStart"/>
      <w:r w:rsidRPr="00985B97">
        <w:rPr>
          <w:rFonts w:asciiTheme="majorHAnsi" w:hAnsiTheme="majorHAnsi" w:cstheme="majorHAnsi"/>
        </w:rPr>
        <w:t>lugar</w:t>
      </w:r>
      <w:proofErr w:type="gramEnd"/>
      <w:r w:rsidRPr="00985B97">
        <w:rPr>
          <w:rFonts w:asciiTheme="majorHAnsi" w:hAnsiTheme="majorHAnsi" w:cstheme="majorHAnsi"/>
        </w:rPr>
        <w:t xml:space="preserve"> se ubica el “seguimiento a planeación”, que refiere a planes, programas, proyectos, compromisos y acciones propias del Ministerio, con 173 registros (21,7%), seguido de “peticiones ciudadanas” con 169 registros (21,2%), “ejecución presupuestal” con 130 registros (16,3%), “matriz energética” con 101 registros (12,7%) y, finalmente, “entidades territoriales” con 42 registros (5,3%). Esta distribución temática evidencia que la relación con el Congreso se concentra en la intersección entre impacto ambiental, ejecución territorial y estructura de la matriz energética, lo que convierte al análisis estratégico legislativo en un insumo necesario para articular exigencias de control político con la formulación y ajuste de la política de transición energética justa.</w:t>
      </w:r>
    </w:p>
    <w:p w14:paraId="2CA9BCB9" w14:textId="77777777" w:rsidR="007C40C2" w:rsidRPr="00985B97" w:rsidRDefault="007C40C2" w:rsidP="00985B97">
      <w:pPr>
        <w:pStyle w:val="Ttulo3"/>
        <w:rPr>
          <w:rFonts w:asciiTheme="majorHAnsi" w:hAnsiTheme="majorHAnsi" w:cstheme="majorHAnsi"/>
          <w:sz w:val="22"/>
          <w:szCs w:val="22"/>
        </w:rPr>
      </w:pPr>
      <w:bookmarkStart w:id="213" w:name="_Toc235092580"/>
      <w:bookmarkStart w:id="214" w:name="_Toc235108024"/>
      <w:r w:rsidRPr="00985B97">
        <w:rPr>
          <w:rFonts w:asciiTheme="majorHAnsi" w:hAnsiTheme="majorHAnsi" w:cstheme="majorHAnsi"/>
          <w:sz w:val="22"/>
          <w:szCs w:val="22"/>
        </w:rPr>
        <w:t xml:space="preserve">2.1.2 Análisis de proposiciones Grupo de Asuntos </w:t>
      </w:r>
      <w:r w:rsidR="001D4B0A" w:rsidRPr="00985B97">
        <w:rPr>
          <w:rFonts w:asciiTheme="majorHAnsi" w:hAnsiTheme="majorHAnsi" w:cstheme="majorHAnsi"/>
          <w:sz w:val="22"/>
          <w:szCs w:val="22"/>
        </w:rPr>
        <w:t>legislativo</w:t>
      </w:r>
      <w:r w:rsidRPr="00985B97">
        <w:rPr>
          <w:rFonts w:asciiTheme="majorHAnsi" w:hAnsiTheme="majorHAnsi" w:cstheme="majorHAnsi"/>
          <w:sz w:val="22"/>
          <w:szCs w:val="22"/>
        </w:rPr>
        <w:t>s 2022 – 2026</w:t>
      </w:r>
      <w:bookmarkEnd w:id="213"/>
      <w:bookmarkEnd w:id="214"/>
    </w:p>
    <w:p w14:paraId="06B9BFA8"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 xml:space="preserve">Este apartado mostrará los hallazgos en la matriz de solicitudes con relación a las proposiciones de debates de control político del Congreso de la República al Ministerio de Minas y Energía, correspondientes a las </w:t>
      </w:r>
      <w:r w:rsidRPr="00985B97">
        <w:rPr>
          <w:rFonts w:asciiTheme="majorHAnsi" w:hAnsiTheme="majorHAnsi" w:cstheme="majorHAnsi"/>
        </w:rPr>
        <w:lastRenderedPageBreak/>
        <w:t>ocho legislaturas (del 20 de julio al 16 de diciembre y del 16 de febrero al 20 de junio) del periodo de gobierno del presidente Gustavo Petro 2022–2026.</w:t>
      </w:r>
    </w:p>
    <w:p w14:paraId="1EFA3739"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b/>
          <w:bCs/>
        </w:rPr>
        <w:t>Figura 6</w:t>
      </w:r>
    </w:p>
    <w:p w14:paraId="0025391D"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Proposiciones presentadas por el Congreso al GAL – MME 2022-2026</w:t>
      </w:r>
    </w:p>
    <w:p w14:paraId="2F0CB1E0"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noProof/>
        </w:rPr>
        <w:drawing>
          <wp:inline distT="0" distB="0" distL="0" distR="0" wp14:anchorId="3F8B4310" wp14:editId="5C98A064">
            <wp:extent cx="4663844" cy="2606266"/>
            <wp:effectExtent l="0" t="0" r="0" b="0"/>
            <wp:docPr id="9569871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987137" name="Picture 956987137"/>
                    <pic:cNvPicPr/>
                  </pic:nvPicPr>
                  <pic:blipFill>
                    <a:blip r:embed="rId76">
                      <a:extLst>
                        <a:ext uri="{28A0092B-C50C-407E-A947-70E740481C1C}">
                          <a14:useLocalDpi xmlns:a14="http://schemas.microsoft.com/office/drawing/2010/main"/>
                        </a:ext>
                      </a:extLst>
                    </a:blip>
                    <a:stretch>
                      <a:fillRect/>
                    </a:stretch>
                  </pic:blipFill>
                  <pic:spPr>
                    <a:xfrm>
                      <a:off x="0" y="0"/>
                      <a:ext cx="4663844" cy="2606266"/>
                    </a:xfrm>
                    <a:prstGeom prst="rect">
                      <a:avLst/>
                    </a:prstGeom>
                  </pic:spPr>
                </pic:pic>
              </a:graphicData>
            </a:graphic>
          </wp:inline>
        </w:drawing>
      </w:r>
    </w:p>
    <w:p w14:paraId="1510BBE4"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Fuente: Elaboración propia. Basado en: MME – GAL. Registro de solicitudes Congreso 2022-2026 con corte al 30/06/2026.</w:t>
      </w:r>
    </w:p>
    <w:p w14:paraId="3E04CFB4"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 xml:space="preserve">Aunque el periodo en el que más se presentaron proposiciones fue el segundo semestre de 2025, en las dos últimas legislaturas entre el segundo semestre de 2025 y el primer semestre de 2026, periodo en el cual se configuró la estrategia de relacionamiento con el Congreso, se observa una disminución relativa frente a 2024 en el número de proposiciones, lo que sugiere un cambio en la forma en que el </w:t>
      </w:r>
      <w:r w:rsidR="001D4B0A" w:rsidRPr="00985B97">
        <w:rPr>
          <w:rFonts w:asciiTheme="majorHAnsi" w:hAnsiTheme="majorHAnsi" w:cstheme="majorHAnsi"/>
        </w:rPr>
        <w:t>legislativo</w:t>
      </w:r>
      <w:r w:rsidRPr="00985B97">
        <w:rPr>
          <w:rFonts w:asciiTheme="majorHAnsi" w:hAnsiTheme="majorHAnsi" w:cstheme="majorHAnsi"/>
        </w:rPr>
        <w:t xml:space="preserve"> canaliza el control político hacia el Ministerio. Esta variación debe leerse en conjunto con el descenso de solicitudes de información, pues ambos tipos de instrumentos reflejan ajustes en la intensidad y en la modalidad de la relación entre el sector minero</w:t>
      </w:r>
      <w:r w:rsidRPr="00985B97">
        <w:rPr>
          <w:rFonts w:asciiTheme="majorHAnsi" w:hAnsiTheme="majorHAnsi" w:cstheme="majorHAnsi"/>
        </w:rPr>
        <w:noBreakHyphen/>
        <w:t>energético y el Congreso.</w:t>
      </w:r>
    </w:p>
    <w:p w14:paraId="59A0F6DE"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Tabla 2</w:t>
      </w:r>
    </w:p>
    <w:p w14:paraId="0F2B919F"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Proposiciones presentadas por partidos políticos al GAL – MME 2022-2026</w:t>
      </w:r>
    </w:p>
    <w:tbl>
      <w:tblPr>
        <w:tblStyle w:val="Tablaconcuadrcula3-nfasis4"/>
        <w:tblW w:w="0" w:type="auto"/>
        <w:tblLook w:val="04A0" w:firstRow="1" w:lastRow="0" w:firstColumn="1" w:lastColumn="0" w:noHBand="0" w:noVBand="1"/>
      </w:tblPr>
      <w:tblGrid>
        <w:gridCol w:w="1770"/>
        <w:gridCol w:w="795"/>
        <w:gridCol w:w="915"/>
        <w:gridCol w:w="795"/>
        <w:gridCol w:w="795"/>
        <w:gridCol w:w="795"/>
        <w:gridCol w:w="795"/>
        <w:gridCol w:w="915"/>
      </w:tblGrid>
      <w:tr w:rsidR="00222BBC" w:rsidRPr="00985B97" w14:paraId="62C8FDD1" w14:textId="77777777" w:rsidTr="003D3896">
        <w:trPr>
          <w:cnfStyle w:val="100000000000" w:firstRow="1" w:lastRow="0" w:firstColumn="0" w:lastColumn="0" w:oddVBand="0" w:evenVBand="0" w:oddHBand="0" w:evenHBand="0" w:firstRowFirstColumn="0" w:firstRowLastColumn="0" w:lastRowFirstColumn="0" w:lastRowLastColumn="0"/>
          <w:trHeight w:val="285"/>
        </w:trPr>
        <w:tc>
          <w:tcPr>
            <w:cnfStyle w:val="001000000100" w:firstRow="0" w:lastRow="0" w:firstColumn="1" w:lastColumn="0" w:oddVBand="0" w:evenVBand="0" w:oddHBand="0" w:evenHBand="0" w:firstRowFirstColumn="1" w:firstRowLastColumn="0" w:lastRowFirstColumn="0" w:lastRowLastColumn="0"/>
            <w:tcW w:w="1770" w:type="dxa"/>
            <w:tcBorders>
              <w:bottom w:val="single" w:sz="8" w:space="0" w:color="FFD966"/>
            </w:tcBorders>
            <w:tcMar>
              <w:left w:w="108" w:type="dxa"/>
              <w:right w:w="108" w:type="dxa"/>
            </w:tcMar>
          </w:tcPr>
          <w:p w14:paraId="157E349D"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lastRenderedPageBreak/>
              <w:t>Partido político</w:t>
            </w:r>
          </w:p>
        </w:tc>
        <w:tc>
          <w:tcPr>
            <w:tcW w:w="795" w:type="dxa"/>
            <w:tcBorders>
              <w:bottom w:val="single" w:sz="8" w:space="0" w:color="FFD966"/>
            </w:tcBorders>
            <w:tcMar>
              <w:left w:w="108" w:type="dxa"/>
              <w:right w:w="108" w:type="dxa"/>
            </w:tcMar>
          </w:tcPr>
          <w:p w14:paraId="25B53930" w14:textId="77777777" w:rsidR="00222BBC" w:rsidRPr="00985B97" w:rsidRDefault="00222BBC" w:rsidP="00985B97">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2022</w:t>
            </w:r>
          </w:p>
        </w:tc>
        <w:tc>
          <w:tcPr>
            <w:tcW w:w="915" w:type="dxa"/>
            <w:tcBorders>
              <w:bottom w:val="single" w:sz="8" w:space="0" w:color="FFD966"/>
            </w:tcBorders>
            <w:tcMar>
              <w:left w:w="108" w:type="dxa"/>
              <w:right w:w="108" w:type="dxa"/>
            </w:tcMar>
          </w:tcPr>
          <w:p w14:paraId="345FAB39" w14:textId="77777777" w:rsidR="00222BBC" w:rsidRPr="00985B97" w:rsidRDefault="00222BBC" w:rsidP="00985B97">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2023</w:t>
            </w:r>
          </w:p>
        </w:tc>
        <w:tc>
          <w:tcPr>
            <w:tcW w:w="795" w:type="dxa"/>
            <w:tcBorders>
              <w:bottom w:val="single" w:sz="8" w:space="0" w:color="FFD966"/>
            </w:tcBorders>
            <w:tcMar>
              <w:left w:w="108" w:type="dxa"/>
              <w:right w:w="108" w:type="dxa"/>
            </w:tcMar>
          </w:tcPr>
          <w:p w14:paraId="553879CE" w14:textId="77777777" w:rsidR="00222BBC" w:rsidRPr="00985B97" w:rsidRDefault="00222BBC" w:rsidP="00985B97">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2024</w:t>
            </w:r>
          </w:p>
        </w:tc>
        <w:tc>
          <w:tcPr>
            <w:tcW w:w="795" w:type="dxa"/>
            <w:tcBorders>
              <w:bottom w:val="single" w:sz="8" w:space="0" w:color="FFD966"/>
            </w:tcBorders>
            <w:tcMar>
              <w:left w:w="108" w:type="dxa"/>
              <w:right w:w="108" w:type="dxa"/>
            </w:tcMar>
          </w:tcPr>
          <w:p w14:paraId="72A5B457" w14:textId="77777777" w:rsidR="00222BBC" w:rsidRPr="00985B97" w:rsidRDefault="00222BBC" w:rsidP="00985B97">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2025</w:t>
            </w:r>
          </w:p>
        </w:tc>
        <w:tc>
          <w:tcPr>
            <w:tcW w:w="795" w:type="dxa"/>
            <w:tcBorders>
              <w:bottom w:val="single" w:sz="8" w:space="0" w:color="FFD966"/>
            </w:tcBorders>
            <w:tcMar>
              <w:left w:w="108" w:type="dxa"/>
              <w:right w:w="108" w:type="dxa"/>
            </w:tcMar>
          </w:tcPr>
          <w:p w14:paraId="5A046C02" w14:textId="77777777" w:rsidR="00222BBC" w:rsidRPr="00985B97" w:rsidRDefault="00222BBC" w:rsidP="00985B97">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2026</w:t>
            </w:r>
          </w:p>
        </w:tc>
        <w:tc>
          <w:tcPr>
            <w:tcW w:w="795" w:type="dxa"/>
            <w:tcBorders>
              <w:bottom w:val="single" w:sz="8" w:space="0" w:color="FFD966"/>
            </w:tcBorders>
            <w:tcMar>
              <w:left w:w="108" w:type="dxa"/>
              <w:right w:w="108" w:type="dxa"/>
            </w:tcMar>
          </w:tcPr>
          <w:p w14:paraId="76B0730C" w14:textId="77777777" w:rsidR="00222BBC" w:rsidRPr="00985B97" w:rsidRDefault="00222BBC" w:rsidP="00985B97">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Total</w:t>
            </w:r>
          </w:p>
        </w:tc>
        <w:tc>
          <w:tcPr>
            <w:tcW w:w="915" w:type="dxa"/>
            <w:tcBorders>
              <w:bottom w:val="single" w:sz="8" w:space="0" w:color="FFD966"/>
            </w:tcBorders>
            <w:tcMar>
              <w:left w:w="108" w:type="dxa"/>
              <w:right w:w="108" w:type="dxa"/>
            </w:tcMar>
          </w:tcPr>
          <w:p w14:paraId="6A3A89E5" w14:textId="77777777" w:rsidR="00222BBC" w:rsidRPr="00985B97" w:rsidRDefault="00222BBC" w:rsidP="00985B97">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w:t>
            </w:r>
          </w:p>
        </w:tc>
      </w:tr>
      <w:tr w:rsidR="00222BBC" w:rsidRPr="00985B97" w14:paraId="1D13400F"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single" w:sz="8" w:space="0" w:color="FFD966"/>
              <w:right w:val="single" w:sz="8" w:space="0" w:color="FFD966"/>
            </w:tcBorders>
            <w:tcMar>
              <w:left w:w="108" w:type="dxa"/>
              <w:right w:w="108" w:type="dxa"/>
            </w:tcMar>
          </w:tcPr>
          <w:p w14:paraId="53BE1CC8"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N/A</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F63070A"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511D110"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78E4920"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18</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8982333"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22</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F8B1573"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10</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5C29FEA"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52</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67DA443"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19%</w:t>
            </w:r>
          </w:p>
        </w:tc>
      </w:tr>
      <w:tr w:rsidR="00222BBC" w:rsidRPr="00985B97" w14:paraId="58C655F6"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068D4F40"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Conservador</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6260EE2"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8</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D15DCA1"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11</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ABDCEF3"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11</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EB91E8A"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11</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ED55AF1"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3</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A0E9BFB"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44</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D82AA26"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16%</w:t>
            </w:r>
          </w:p>
        </w:tc>
      </w:tr>
      <w:tr w:rsidR="00222BBC" w:rsidRPr="00985B97" w14:paraId="2030DF04"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4BDC9642"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Centro democrático</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87D3E49"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7</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7CB6E55"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8</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254775D"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8</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D740560"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19</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6FEFE81"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F767168"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42</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DE974C1"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15%</w:t>
            </w:r>
          </w:p>
        </w:tc>
      </w:tr>
      <w:tr w:rsidR="00222BBC" w:rsidRPr="00985B97" w14:paraId="560AD368"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0DE85A33"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Pacto histórico</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5D8FD6B"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07EAFC4"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729A707"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7</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3F9938E"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13</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89E8A86"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5350BA6"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28</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F0CB864"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10%</w:t>
            </w:r>
          </w:p>
        </w:tc>
      </w:tr>
      <w:tr w:rsidR="00222BBC" w:rsidRPr="00985B97" w14:paraId="4F05B089"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785D1904"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La U</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6959F4C"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50CEF5D"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7</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C47AAEF"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8</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4757F19"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7</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A99A7B0"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3</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3C30152"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26</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B16A6B2"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9%</w:t>
            </w:r>
          </w:p>
        </w:tc>
      </w:tr>
      <w:tr w:rsidR="00222BBC" w:rsidRPr="00985B97" w14:paraId="433C730A"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2852689D"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Verde</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C8417A3"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28BC8CA"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3</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7A2E1E5"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7</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EC0F96A"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7</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C2D2EA7"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C6379A9"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22</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F3F1CB0"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8%</w:t>
            </w:r>
          </w:p>
        </w:tc>
      </w:tr>
      <w:tr w:rsidR="00222BBC" w:rsidRPr="00985B97" w14:paraId="72ED8BAD"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01161E14"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Liberal</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88C97C4"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4A72460"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B2B6AF1"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6</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BB260E4"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53BCD4A"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23F6E25"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16</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671483F"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6%</w:t>
            </w:r>
          </w:p>
        </w:tc>
      </w:tr>
      <w:tr w:rsidR="00222BBC" w:rsidRPr="00985B97" w14:paraId="1BA470BC"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1E14502E"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CITREP</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C54B095"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806FCA0"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F165E51"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3</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82D1B40"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3</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57B2736"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3</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09C2EF7"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11</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2C2863C"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w:t>
            </w:r>
          </w:p>
        </w:tc>
      </w:tr>
      <w:tr w:rsidR="00222BBC" w:rsidRPr="00985B97" w14:paraId="0ECDD4D6"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0E8593F9"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Cambio radical</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58A695C"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9F8C737"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5</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7FF45D2"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7267603"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98A1A25"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219DB1B"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11</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4F7503C"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w:t>
            </w:r>
          </w:p>
        </w:tc>
      </w:tr>
      <w:tr w:rsidR="00222BBC" w:rsidRPr="00985B97" w14:paraId="32584FDF"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096AC15B"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Centro esperanza</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F886898"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F217354"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1520468"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27FC7AD"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6</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B1BECAC"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9535E80"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11</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E5D0A12"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w:t>
            </w:r>
          </w:p>
        </w:tc>
      </w:tr>
      <w:tr w:rsidR="00222BBC" w:rsidRPr="00985B97" w14:paraId="224897CF"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00FCF71B"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 xml:space="preserve">Liberal </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3A0792A"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6</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E54F622"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C734C53"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E44022A"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213E252"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FDE2E31"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6</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399EF5CD"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r>
      <w:tr w:rsidR="00222BBC" w:rsidRPr="00985B97" w14:paraId="11924FAC"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55F4ADF9"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Afro</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6C31821"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5816855"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708C3D26"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3</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F12C474"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E07747A"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F0C3A19"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4</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31D9964"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r>
      <w:tr w:rsidR="00222BBC" w:rsidRPr="00985B97" w14:paraId="20A3511B"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350731C2"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 xml:space="preserve">Conservador </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00CA2C2"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FCCF107"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4475974"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03FB506"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71060A6"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A58A65B"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2</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5F2DA09"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r>
      <w:tr w:rsidR="00222BBC" w:rsidRPr="00985B97" w14:paraId="2831609E"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346B3760"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Colombia Justa Libres</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0382B0E"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55D86F02"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B277F08"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54157E8"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6D63ED1"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3434A21B"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23BB8E7"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0%</w:t>
            </w:r>
          </w:p>
        </w:tc>
      </w:tr>
      <w:tr w:rsidR="00222BBC" w:rsidRPr="00985B97" w14:paraId="0A922D60"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09545A0E"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 xml:space="preserve">Cambio radical </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040F7799"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06BD803"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44AC41B"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6352118E"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E7854F1" w14:textId="77777777" w:rsidR="00222BBC" w:rsidRPr="00985B97" w:rsidRDefault="00222BBC" w:rsidP="00985B97">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95F9205"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727195F1"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0%</w:t>
            </w:r>
          </w:p>
        </w:tc>
      </w:tr>
      <w:tr w:rsidR="00222BBC" w:rsidRPr="00985B97" w14:paraId="768456AA" w14:textId="77777777" w:rsidTr="003D389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24E361DE" w14:textId="77777777" w:rsidR="00222BBC" w:rsidRPr="00985B97" w:rsidRDefault="00222BBC" w:rsidP="00985B97">
            <w:pPr>
              <w:rPr>
                <w:rFonts w:asciiTheme="majorHAnsi" w:hAnsiTheme="majorHAnsi" w:cstheme="majorHAnsi"/>
              </w:rPr>
            </w:pPr>
            <w:r w:rsidRPr="00985B97">
              <w:rPr>
                <w:rFonts w:asciiTheme="majorHAnsi" w:hAnsiTheme="majorHAnsi" w:cstheme="majorHAnsi"/>
                <w:color w:val="000000" w:themeColor="text1"/>
              </w:rPr>
              <w:t>Comunes</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422E38A5"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023FF839"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6B2253DC"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EF7FEC3"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2AF52F2C" w14:textId="77777777" w:rsidR="00222BBC" w:rsidRPr="00985B97" w:rsidRDefault="00222BBC" w:rsidP="00985B9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9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B1F6488"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1</w:t>
            </w:r>
          </w:p>
        </w:tc>
        <w:tc>
          <w:tcPr>
            <w:tcW w:w="915" w:type="dxa"/>
            <w:tcBorders>
              <w:top w:val="single" w:sz="8" w:space="0" w:color="FFD966"/>
              <w:left w:val="single" w:sz="8" w:space="0" w:color="FFD966"/>
              <w:bottom w:val="single" w:sz="8" w:space="0" w:color="FFD966"/>
              <w:right w:val="single" w:sz="8" w:space="0" w:color="FFD966"/>
            </w:tcBorders>
            <w:tcMar>
              <w:left w:w="108" w:type="dxa"/>
              <w:right w:w="108" w:type="dxa"/>
            </w:tcMar>
          </w:tcPr>
          <w:p w14:paraId="1E607C11" w14:textId="77777777" w:rsidR="00222BBC" w:rsidRPr="00985B97" w:rsidRDefault="00222BBC" w:rsidP="00985B97">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000000" w:themeColor="text1"/>
              </w:rPr>
              <w:t>0%</w:t>
            </w:r>
          </w:p>
        </w:tc>
      </w:tr>
      <w:tr w:rsidR="00222BBC" w:rsidRPr="00985B97" w14:paraId="28558407" w14:textId="77777777" w:rsidTr="003D389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70" w:type="dxa"/>
            <w:tcBorders>
              <w:right w:val="single" w:sz="8" w:space="0" w:color="FFD966"/>
            </w:tcBorders>
            <w:tcMar>
              <w:left w:w="108" w:type="dxa"/>
              <w:right w:w="108" w:type="dxa"/>
            </w:tcMar>
          </w:tcPr>
          <w:p w14:paraId="4DFDA454" w14:textId="77777777" w:rsidR="00222BBC" w:rsidRPr="00985B97" w:rsidRDefault="00222BBC" w:rsidP="00985B97">
            <w:pPr>
              <w:rPr>
                <w:rFonts w:asciiTheme="majorHAnsi" w:hAnsiTheme="majorHAnsi" w:cstheme="majorHAnsi"/>
              </w:rPr>
            </w:pPr>
            <w:r w:rsidRPr="00985B97">
              <w:rPr>
                <w:rFonts w:asciiTheme="majorHAnsi" w:hAnsiTheme="majorHAnsi" w:cstheme="majorHAnsi"/>
                <w:b/>
                <w:bCs/>
                <w:color w:val="000000" w:themeColor="text1"/>
              </w:rPr>
              <w:t>Total</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6960C00"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b/>
                <w:bCs/>
                <w:color w:val="000000" w:themeColor="text1"/>
              </w:rPr>
              <w:t>32</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5571B8B"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b/>
                <w:bCs/>
                <w:color w:val="000000" w:themeColor="text1"/>
              </w:rPr>
              <w:t>55</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49C8582C"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b/>
                <w:bCs/>
                <w:color w:val="000000" w:themeColor="text1"/>
              </w:rPr>
              <w:t>73</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25EB5E10"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b/>
                <w:bCs/>
                <w:color w:val="000000" w:themeColor="text1"/>
              </w:rPr>
              <w:t>97</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18449A1"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b/>
                <w:bCs/>
                <w:color w:val="000000" w:themeColor="text1"/>
              </w:rPr>
              <w:t>21</w:t>
            </w:r>
          </w:p>
        </w:tc>
        <w:tc>
          <w:tcPr>
            <w:tcW w:w="79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5B0979B5"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b/>
                <w:bCs/>
                <w:color w:val="000000" w:themeColor="text1"/>
              </w:rPr>
              <w:t>278</w:t>
            </w:r>
          </w:p>
        </w:tc>
        <w:tc>
          <w:tcPr>
            <w:tcW w:w="915" w:type="dxa"/>
            <w:tcBorders>
              <w:top w:val="single" w:sz="8" w:space="0" w:color="FFD966"/>
              <w:left w:val="single" w:sz="8" w:space="0" w:color="FFD966"/>
              <w:bottom w:val="single" w:sz="8" w:space="0" w:color="FFD966"/>
              <w:right w:val="single" w:sz="8" w:space="0" w:color="FFD966"/>
            </w:tcBorders>
            <w:shd w:val="clear" w:color="auto" w:fill="FFF2CC"/>
            <w:tcMar>
              <w:left w:w="108" w:type="dxa"/>
              <w:right w:w="108" w:type="dxa"/>
            </w:tcMar>
          </w:tcPr>
          <w:p w14:paraId="158EF4E4" w14:textId="77777777" w:rsidR="00222BBC" w:rsidRPr="00985B97" w:rsidRDefault="00222BBC" w:rsidP="00985B97">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b/>
                <w:bCs/>
                <w:color w:val="000000" w:themeColor="text1"/>
              </w:rPr>
              <w:t>100%</w:t>
            </w:r>
          </w:p>
        </w:tc>
      </w:tr>
    </w:tbl>
    <w:p w14:paraId="73B6D908" w14:textId="77777777" w:rsidR="00222BBC" w:rsidRPr="00985B97" w:rsidRDefault="00222BBC" w:rsidP="00985B97">
      <w:pPr>
        <w:jc w:val="both"/>
        <w:rPr>
          <w:rFonts w:asciiTheme="majorHAnsi" w:hAnsiTheme="majorHAnsi" w:cstheme="majorHAnsi"/>
        </w:rPr>
      </w:pPr>
    </w:p>
    <w:p w14:paraId="48B0F59A"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Fuente: Elaboración propia. Basado en: MME – GAL. Registro de solicitudes Congreso 2022-2026 con corte al 30/06/2026.</w:t>
      </w:r>
    </w:p>
    <w:p w14:paraId="47CAEBC9"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 xml:space="preserve">Si bien 52 de las proposiciones fueron presentadas por una Comisión en plenaria, bien sea de Cámara (31, principalmente la Comisión Segunda con 11, la Comisión Quinta con 8 y la Comisión Cuarta) o de Senado (21, principalmente la Comisión Quinta con 10), los partidos políticos que realizaron más proposiciones al Ministerio fueron el Conservador, con 44, el Centro Democrático, con 42, el Pacto Histórico, con 28, </w:t>
      </w:r>
      <w:r w:rsidRPr="00985B97">
        <w:rPr>
          <w:rFonts w:asciiTheme="majorHAnsi" w:hAnsiTheme="majorHAnsi" w:cstheme="majorHAnsi"/>
        </w:rPr>
        <w:lastRenderedPageBreak/>
        <w:t>seguido de La U, con 26, el partido Verde, con 22, y el partido Liberal, con 16. Este patrón muestra que las citaciones a debates de control político están impulsadas tanto por sectores opositores como por partidos tradicionales y de gobierno, lo que complejiza la lectura de la relación Congreso–Ministerio y demanda un análisis legislativo capaz de distinguir entre distintos tipos de presión política sobre el sector.</w:t>
      </w:r>
    </w:p>
    <w:p w14:paraId="4EC46BDD"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Figura 7</w:t>
      </w:r>
    </w:p>
    <w:p w14:paraId="606AE210"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Congresistas con más proposiciones de información al GAL – MME 2022-2026</w:t>
      </w:r>
    </w:p>
    <w:p w14:paraId="7F6F6569"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noProof/>
        </w:rPr>
        <w:drawing>
          <wp:inline distT="0" distB="0" distL="0" distR="0" wp14:anchorId="664E0587" wp14:editId="5A36E6C8">
            <wp:extent cx="4656223" cy="3596952"/>
            <wp:effectExtent l="0" t="0" r="0" b="0"/>
            <wp:docPr id="7876499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64995" name="Picture 78764995"/>
                    <pic:cNvPicPr/>
                  </pic:nvPicPr>
                  <pic:blipFill>
                    <a:blip r:embed="rId77">
                      <a:extLst>
                        <a:ext uri="{28A0092B-C50C-407E-A947-70E740481C1C}">
                          <a14:useLocalDpi xmlns:a14="http://schemas.microsoft.com/office/drawing/2010/main"/>
                        </a:ext>
                      </a:extLst>
                    </a:blip>
                    <a:stretch>
                      <a:fillRect/>
                    </a:stretch>
                  </pic:blipFill>
                  <pic:spPr>
                    <a:xfrm>
                      <a:off x="0" y="0"/>
                      <a:ext cx="4656223" cy="3596952"/>
                    </a:xfrm>
                    <a:prstGeom prst="rect">
                      <a:avLst/>
                    </a:prstGeom>
                  </pic:spPr>
                </pic:pic>
              </a:graphicData>
            </a:graphic>
          </wp:inline>
        </w:drawing>
      </w:r>
    </w:p>
    <w:p w14:paraId="6F927908"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Fuente: Elaboración propia. Basado en: MME – GAL. Registro de solicitudes Congreso 2022-2026 con corte al 30/06/2026.</w:t>
      </w:r>
    </w:p>
    <w:p w14:paraId="613A2CE7"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 xml:space="preserve">Entre los 20 congresistas que concentraron el mayor porcentaje de proposiciones presentadas al Ministerio sobre citaciones a debates de control político en el último cuatrienio (33%), se encuentran José David </w:t>
      </w:r>
      <w:proofErr w:type="spellStart"/>
      <w:r w:rsidRPr="00985B97">
        <w:rPr>
          <w:rFonts w:asciiTheme="majorHAnsi" w:hAnsiTheme="majorHAnsi" w:cstheme="majorHAnsi"/>
        </w:rPr>
        <w:t>Name</w:t>
      </w:r>
      <w:proofErr w:type="spellEnd"/>
      <w:r w:rsidRPr="00985B97">
        <w:rPr>
          <w:rFonts w:asciiTheme="majorHAnsi" w:hAnsiTheme="majorHAnsi" w:cstheme="majorHAnsi"/>
        </w:rPr>
        <w:t xml:space="preserve"> (9), del partido de La U, seguido de Nicolás Echeverry (7) y Nicolás Barguil (7), del partido Conservador. La concentración de proposiciones en un número reducido de congresistas refuerza la hipótesis de una relación personalista y focalizada, en la que ciertos actores parlamentarios se convierten </w:t>
      </w:r>
      <w:r w:rsidRPr="00985B97">
        <w:rPr>
          <w:rFonts w:asciiTheme="majorHAnsi" w:hAnsiTheme="majorHAnsi" w:cstheme="majorHAnsi"/>
        </w:rPr>
        <w:lastRenderedPageBreak/>
        <w:t>en interlocutores constantes del sector, lo que puede constituir una relación de control y como generar dependencias en la construcción de la agenda de transición energética.</w:t>
      </w:r>
    </w:p>
    <w:p w14:paraId="0FD983A5"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Figura 8</w:t>
      </w:r>
    </w:p>
    <w:p w14:paraId="269C0FBC"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Proposiciones del Congreso al GAL - MME por corporación 2022-2026</w:t>
      </w:r>
    </w:p>
    <w:p w14:paraId="4C145B04"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noProof/>
        </w:rPr>
        <w:drawing>
          <wp:inline distT="0" distB="0" distL="0" distR="0" wp14:anchorId="07405F3A" wp14:editId="4B91DC02">
            <wp:extent cx="2949196" cy="2072820"/>
            <wp:effectExtent l="0" t="0" r="0" b="0"/>
            <wp:docPr id="71868950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689503" name="Picture 718689503"/>
                    <pic:cNvPicPr/>
                  </pic:nvPicPr>
                  <pic:blipFill>
                    <a:blip r:embed="rId78">
                      <a:extLst>
                        <a:ext uri="{28A0092B-C50C-407E-A947-70E740481C1C}">
                          <a14:useLocalDpi xmlns:a14="http://schemas.microsoft.com/office/drawing/2010/main"/>
                        </a:ext>
                      </a:extLst>
                    </a:blip>
                    <a:stretch>
                      <a:fillRect/>
                    </a:stretch>
                  </pic:blipFill>
                  <pic:spPr>
                    <a:xfrm>
                      <a:off x="0" y="0"/>
                      <a:ext cx="2949196" cy="2072820"/>
                    </a:xfrm>
                    <a:prstGeom prst="rect">
                      <a:avLst/>
                    </a:prstGeom>
                  </pic:spPr>
                </pic:pic>
              </a:graphicData>
            </a:graphic>
          </wp:inline>
        </w:drawing>
      </w:r>
    </w:p>
    <w:p w14:paraId="43F47960"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Fuente: Elaboración propia. Basado en: MME – GAL. Registro de solicitudes Congreso 2022-2026 con corte al 30/06/2026.</w:t>
      </w:r>
    </w:p>
    <w:p w14:paraId="14E13850"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La corporación que realizó más proposiciones al Ministerio fue la Cámara de Representantes (444), seguida del Senado (145) y otras entidades (133). Este predominio de la Cámara refuerza la idea de que el control político sobre el sector minero</w:t>
      </w:r>
      <w:r w:rsidRPr="00985B97">
        <w:rPr>
          <w:rFonts w:asciiTheme="majorHAnsi" w:hAnsiTheme="majorHAnsi" w:cstheme="majorHAnsi"/>
        </w:rPr>
        <w:noBreakHyphen/>
        <w:t>energético se ejerce, principalmente, desde los vínculos territoriales de los representantes, y posiciona al Ministerio como un actor central en la gestión de demandas y conflictos asociados a la transición energética en los territorios.</w:t>
      </w:r>
    </w:p>
    <w:p w14:paraId="1F39FFC6"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Figura 9</w:t>
      </w:r>
    </w:p>
    <w:p w14:paraId="0F1616F0"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Palabras más frecuentes en proposiciones del Congreso al GAL – MME 2022-2026</w:t>
      </w:r>
    </w:p>
    <w:p w14:paraId="5D7ABE04"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noProof/>
        </w:rPr>
        <w:lastRenderedPageBreak/>
        <w:drawing>
          <wp:inline distT="0" distB="0" distL="0" distR="0" wp14:anchorId="35B20B73" wp14:editId="0A6E02A3">
            <wp:extent cx="5614902" cy="2859272"/>
            <wp:effectExtent l="0" t="0" r="0" b="0"/>
            <wp:docPr id="9791387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138751" name="Picture 979138751"/>
                    <pic:cNvPicPr/>
                  </pic:nvPicPr>
                  <pic:blipFill>
                    <a:blip r:embed="rId79">
                      <a:extLst>
                        <a:ext uri="{28A0092B-C50C-407E-A947-70E740481C1C}">
                          <a14:useLocalDpi xmlns:a14="http://schemas.microsoft.com/office/drawing/2010/main"/>
                        </a:ext>
                      </a:extLst>
                    </a:blip>
                    <a:stretch>
                      <a:fillRect/>
                    </a:stretch>
                  </pic:blipFill>
                  <pic:spPr>
                    <a:xfrm>
                      <a:off x="0" y="0"/>
                      <a:ext cx="5614902" cy="2859272"/>
                    </a:xfrm>
                    <a:prstGeom prst="rect">
                      <a:avLst/>
                    </a:prstGeom>
                  </pic:spPr>
                </pic:pic>
              </a:graphicData>
            </a:graphic>
          </wp:inline>
        </w:drawing>
      </w:r>
    </w:p>
    <w:p w14:paraId="48D88E92"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Fuente: Elaboración propia. Basado en: MME – GAL. Registro de solicitudes Congreso 2022-2026 con corte al 30/06/2026.</w:t>
      </w:r>
    </w:p>
    <w:p w14:paraId="36E25F31"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Las palabras con mayor frecuencia en las proposiciones son proyecto y empresa; en un segundo nivel se encuentran departamento, municipio, minas y energía. En un tercer nivel aparecen términos como usuario, en referencia a los usuarios de servicios públicos domiciliarios, e impacto. Este patrón sugiere que los debates de control político se orientan no sólo al seguimiento de proyectos y actores empresariales, sino también a la percepción de impacto sobre usuarios y territorios, núcleo de las controversias asociadas a tarifas, subsidios y calidad del servicio en el marco de la transición energética.</w:t>
      </w:r>
    </w:p>
    <w:p w14:paraId="256AA0B6"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Figura 10</w:t>
      </w:r>
    </w:p>
    <w:p w14:paraId="06A42BA8" w14:textId="77777777" w:rsidR="00222BBC" w:rsidRPr="00985B97" w:rsidRDefault="00222BBC" w:rsidP="00985B97">
      <w:pPr>
        <w:jc w:val="both"/>
        <w:rPr>
          <w:rFonts w:asciiTheme="majorHAnsi" w:hAnsiTheme="majorHAnsi" w:cstheme="majorHAnsi"/>
          <w:b/>
          <w:bCs/>
        </w:rPr>
      </w:pPr>
      <w:r w:rsidRPr="00985B97">
        <w:rPr>
          <w:rFonts w:asciiTheme="majorHAnsi" w:hAnsiTheme="majorHAnsi" w:cstheme="majorHAnsi"/>
          <w:b/>
          <w:bCs/>
        </w:rPr>
        <w:t>Temas más frecuentes en proposiciones del Congreso al GAL – MME 2022-2026</w:t>
      </w:r>
    </w:p>
    <w:p w14:paraId="632B6EB9"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noProof/>
        </w:rPr>
        <w:lastRenderedPageBreak/>
        <w:drawing>
          <wp:inline distT="0" distB="0" distL="0" distR="0" wp14:anchorId="3967E21C" wp14:editId="615A1D2B">
            <wp:extent cx="5054600" cy="3021831"/>
            <wp:effectExtent l="0" t="0" r="0" b="7620"/>
            <wp:docPr id="9745326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532622" name="Picture 974532622"/>
                    <pic:cNvPicPr/>
                  </pic:nvPicPr>
                  <pic:blipFill>
                    <a:blip r:embed="rId80">
                      <a:extLst>
                        <a:ext uri="{28A0092B-C50C-407E-A947-70E740481C1C}">
                          <a14:useLocalDpi xmlns:a14="http://schemas.microsoft.com/office/drawing/2010/main"/>
                        </a:ext>
                      </a:extLst>
                    </a:blip>
                    <a:stretch>
                      <a:fillRect/>
                    </a:stretch>
                  </pic:blipFill>
                  <pic:spPr>
                    <a:xfrm>
                      <a:off x="0" y="0"/>
                      <a:ext cx="5063156" cy="3026946"/>
                    </a:xfrm>
                    <a:prstGeom prst="rect">
                      <a:avLst/>
                    </a:prstGeom>
                  </pic:spPr>
                </pic:pic>
              </a:graphicData>
            </a:graphic>
          </wp:inline>
        </w:drawing>
      </w:r>
    </w:p>
    <w:p w14:paraId="14438CDF"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Fuente: Elaboración propia. Basado en: MME – GAL. Registro de solicitudes Congreso 2022-2026 con corte al 30/06/2026.</w:t>
      </w:r>
    </w:p>
    <w:p w14:paraId="7E7FFC6F"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El tema de mayor consulta por los congresistas en las proposiciones es “energía”, con 97 registros (34,9%). En segundo lugar, el “seguimiento a planeación”, con 74 registros (26,6%), seguido de “ejecución presupuestal” con 33 (11,9%), “subsidios y tarifas” con 31 (11,1%), “Ecopetrol” con 24 (8,6%) y “combustibles” con 19 (6,8%). La centralidad de energía, planeación y subsidios</w:t>
      </w:r>
      <w:r w:rsidRPr="00985B97">
        <w:rPr>
          <w:rFonts w:asciiTheme="majorHAnsi" w:hAnsiTheme="majorHAnsi" w:cstheme="majorHAnsi"/>
        </w:rPr>
        <w:noBreakHyphen/>
        <w:t>tarifas muestra que los debates de control político se sitúan en el corazón de la transición energética justa, donde se disputan las decisiones sobre la estructura de la matriz, la orientación del gasto público y la distribución de costos y beneficios entre usuarios y territorios.</w:t>
      </w:r>
    </w:p>
    <w:p w14:paraId="0F041BB9"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En este contexto, el análisis estratégico legislativo se convierte en una herramienta indispensable para anticipar conflictos, construir narrativas coherentes y articular respuestas institucionales que trasciendan la gestión reactiva de citaciones y solicitudes. 3. Análisis Las solicitudes de información y las proposiciones conforman un esquema de relacionamiento más que dos canales independientes entre el Congreso y el Ministerio. Estas herramientas se han utilizado mayormente para obtener información sobre: el comportamiento de proyectos en territorio, la ejecución de recursos, la configuración de la matriz energética y los impactos sobre usuarios y comunidades.</w:t>
      </w:r>
    </w:p>
    <w:p w14:paraId="2BA8432D"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lastRenderedPageBreak/>
        <w:t>La importancia de la Cámara de Representantes en los dos tipos de instrumentos muestra que existe una relación fuertemente atravesada por la territorialidad. Este órgano legislativo, el cual presenta un vínculo directo con las circunscripciones territoriales, utiliza solicitudes y proposiciones para canalizar Ministerio demandas y tensiones originadas en municipios y departamentos, vinculadas a proyectos con afectación ambiental, ejecución presupuestal y decisiones sobre subsidios y tarifas. Esto implica que el análisis legislativo del Ministerio no sólo debe tener en cuenta la dimensión partidista del Congreso, sino también la forma en que las agendas territoriales se transforman en presión legislativa sobre el sector.</w:t>
      </w:r>
    </w:p>
    <w:p w14:paraId="7125ED50"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Otro elemento importante es la concentración de las interacciones en un conjunto de actores parlamentarios específicos. Tanto en solicitudes como en proposiciones se identifica un grupo reducido de congresistas y partidos que recurren de manera reiterada a estas herramientas. Esa recurrencia configura una relación personalista y focalizada: el Ministerio dialoga y se defiende, de forma preferente, frente a ciertos nombres propios que ejercen control político permanente sobre el sector, lo que podría limitar la capacidad institucional de construir una estrategia legislativa robusta, al centrarse únicamente en estos actores.</w:t>
      </w:r>
    </w:p>
    <w:p w14:paraId="570DF957" w14:textId="77777777" w:rsidR="00222BBC" w:rsidRPr="00985B97" w:rsidRDefault="00222BBC" w:rsidP="00985B97">
      <w:pPr>
        <w:jc w:val="both"/>
        <w:rPr>
          <w:rFonts w:asciiTheme="majorHAnsi" w:hAnsiTheme="majorHAnsi" w:cstheme="majorHAnsi"/>
        </w:rPr>
      </w:pPr>
      <w:r w:rsidRPr="00985B97">
        <w:rPr>
          <w:rFonts w:asciiTheme="majorHAnsi" w:hAnsiTheme="majorHAnsi" w:cstheme="majorHAnsi"/>
        </w:rPr>
        <w:t>El establecimiento de una estrategia legislativa clara en el último año ha generado un cambio en la forma de gestionar la relación con el Congreso, llevando a que se disminuya la dispersión de requerimientos y se organicen mejor las interacciones de manera estratégica, a través de mecanismos de registro, priorización y respuesta más sistemáticos. Sin embargo, este ajuste convive todavía con una dinámica de alta presión opositora y con debates de control político sobre asuntos sensibles (energía, subsidios, Ecopetrol), por lo que esta estrategia debe tener en cuenta, no solo una lógica defensiva y de contención de la oposición, sino también una de incidencia proactiva en la agenda legislativa en la que la interacción con el Congreso permita desarrollar una política de transición energética más coherente, articulada y menos dependiente de relaciones personales puntuales.</w:t>
      </w:r>
    </w:p>
    <w:p w14:paraId="4E23725E" w14:textId="77777777" w:rsidR="00C50F13" w:rsidRPr="00985B97" w:rsidRDefault="00C50F13" w:rsidP="00985B97">
      <w:pPr>
        <w:pStyle w:val="Ttulo3"/>
        <w:rPr>
          <w:rFonts w:asciiTheme="majorHAnsi" w:hAnsiTheme="majorHAnsi" w:cstheme="majorHAnsi"/>
          <w:sz w:val="22"/>
          <w:szCs w:val="22"/>
        </w:rPr>
      </w:pPr>
      <w:bookmarkStart w:id="215" w:name="_Toc235092581"/>
      <w:bookmarkStart w:id="216" w:name="_Toc235108025"/>
      <w:r w:rsidRPr="00985B97">
        <w:rPr>
          <w:rFonts w:asciiTheme="majorHAnsi" w:hAnsiTheme="majorHAnsi" w:cstheme="majorHAnsi"/>
          <w:sz w:val="22"/>
          <w:szCs w:val="22"/>
        </w:rPr>
        <w:t>2.1.3 Debates de control político</w:t>
      </w:r>
      <w:bookmarkEnd w:id="215"/>
      <w:bookmarkEnd w:id="216"/>
    </w:p>
    <w:p w14:paraId="40E77257"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b/>
          <w:bCs/>
          <w:color w:val="BF9000"/>
        </w:rPr>
      </w:pPr>
      <w:r w:rsidRPr="00985B97">
        <w:rPr>
          <w:rFonts w:asciiTheme="majorHAnsi" w:hAnsiTheme="majorHAnsi" w:cstheme="majorHAnsi"/>
          <w:lang w:val="es-ES"/>
        </w:rPr>
        <w:t>En el siguiente acápite se relacionan las ocho proposiciones de debates de control político asociados a temas de transición energética, presentadas entre los años 2024 y 2026: </w:t>
      </w:r>
    </w:p>
    <w:p w14:paraId="0A1A468E"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b/>
          <w:bCs/>
          <w:lang w:val="es-ES"/>
        </w:rPr>
      </w:pPr>
      <w:r w:rsidRPr="00985B97">
        <w:rPr>
          <w:rFonts w:asciiTheme="majorHAnsi" w:hAnsiTheme="majorHAnsi" w:cstheme="majorHAnsi"/>
          <w:b/>
          <w:bCs/>
          <w:lang w:val="es-ES"/>
        </w:rPr>
        <w:t>Tabla 1.</w:t>
      </w:r>
    </w:p>
    <w:p w14:paraId="2D116BFC" w14:textId="77777777" w:rsidR="00C50F13" w:rsidRPr="00985B97" w:rsidRDefault="00C50F13" w:rsidP="00985B97">
      <w:pPr>
        <w:pBdr>
          <w:top w:val="nil"/>
          <w:left w:val="nil"/>
          <w:bottom w:val="nil"/>
          <w:right w:val="nil"/>
          <w:between w:val="nil"/>
        </w:pBdr>
        <w:spacing w:after="0"/>
        <w:jc w:val="both"/>
        <w:rPr>
          <w:rFonts w:asciiTheme="majorHAnsi" w:hAnsiTheme="majorHAnsi" w:cstheme="majorHAnsi"/>
          <w:b/>
          <w:bCs/>
          <w:lang w:val="es-ES"/>
        </w:rPr>
      </w:pPr>
      <w:r w:rsidRPr="00985B97">
        <w:rPr>
          <w:rFonts w:asciiTheme="majorHAnsi" w:hAnsiTheme="majorHAnsi" w:cstheme="majorHAnsi"/>
          <w:b/>
          <w:bCs/>
          <w:lang w:val="es-ES"/>
        </w:rPr>
        <w:lastRenderedPageBreak/>
        <w:t>Proposiciones de debate de control político al MME 2024-2026 </w:t>
      </w:r>
    </w:p>
    <w:tbl>
      <w:tblPr>
        <w:tblStyle w:val="Tablaconcuadrcula1clara-nfasis6"/>
        <w:tblW w:w="9147" w:type="dxa"/>
        <w:tblLook w:val="04A0" w:firstRow="1" w:lastRow="0" w:firstColumn="1" w:lastColumn="0" w:noHBand="0" w:noVBand="1"/>
      </w:tblPr>
      <w:tblGrid>
        <w:gridCol w:w="1575"/>
        <w:gridCol w:w="2175"/>
        <w:gridCol w:w="2250"/>
        <w:gridCol w:w="1750"/>
        <w:gridCol w:w="1397"/>
      </w:tblGrid>
      <w:tr w:rsidR="00C50F13" w:rsidRPr="00985B97" w14:paraId="4D5C90D5" w14:textId="77777777" w:rsidTr="003D389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10687772" w14:textId="77777777" w:rsidR="00C50F13" w:rsidRPr="00985B97" w:rsidRDefault="00C50F13" w:rsidP="00985B97">
            <w:pPr>
              <w:jc w:val="center"/>
              <w:textAlignment w:val="baseline"/>
              <w:rPr>
                <w:rFonts w:asciiTheme="majorHAnsi" w:hAnsiTheme="majorHAnsi" w:cstheme="majorHAnsi"/>
                <w:lang w:val="es-ES"/>
              </w:rPr>
            </w:pPr>
            <w:r w:rsidRPr="00985B97">
              <w:rPr>
                <w:rFonts w:asciiTheme="majorHAnsi" w:hAnsiTheme="majorHAnsi" w:cstheme="majorHAnsi"/>
                <w:color w:val="242424"/>
                <w:lang w:val="es-ES"/>
              </w:rPr>
              <w:t>Proposición</w:t>
            </w:r>
          </w:p>
        </w:tc>
        <w:tc>
          <w:tcPr>
            <w:tcW w:w="2175" w:type="dxa"/>
            <w:vAlign w:val="center"/>
            <w:hideMark/>
          </w:tcPr>
          <w:p w14:paraId="12BAFC2D" w14:textId="77777777" w:rsidR="00C50F13" w:rsidRPr="00985B97" w:rsidRDefault="00C50F13" w:rsidP="00985B97">
            <w:pPr>
              <w:jc w:val="center"/>
              <w:textAlignment w:val="baseline"/>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Tema</w:t>
            </w:r>
          </w:p>
        </w:tc>
        <w:tc>
          <w:tcPr>
            <w:tcW w:w="2250" w:type="dxa"/>
            <w:vAlign w:val="center"/>
            <w:hideMark/>
          </w:tcPr>
          <w:p w14:paraId="2A6900D2" w14:textId="77777777" w:rsidR="00C50F13" w:rsidRPr="00985B97" w:rsidRDefault="00C50F13" w:rsidP="00985B97">
            <w:pPr>
              <w:jc w:val="center"/>
              <w:textAlignment w:val="baseline"/>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Respuesta del MME</w:t>
            </w:r>
          </w:p>
        </w:tc>
        <w:tc>
          <w:tcPr>
            <w:tcW w:w="1750" w:type="dxa"/>
            <w:vAlign w:val="center"/>
            <w:hideMark/>
          </w:tcPr>
          <w:p w14:paraId="19515427" w14:textId="77777777" w:rsidR="00C50F13" w:rsidRPr="00985B97" w:rsidRDefault="00C50F13" w:rsidP="00985B97">
            <w:pPr>
              <w:jc w:val="center"/>
              <w:textAlignment w:val="baseline"/>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Corporación y Comisión</w:t>
            </w:r>
          </w:p>
        </w:tc>
        <w:tc>
          <w:tcPr>
            <w:tcW w:w="1397" w:type="dxa"/>
            <w:vAlign w:val="center"/>
            <w:hideMark/>
          </w:tcPr>
          <w:p w14:paraId="60162A2B" w14:textId="77777777" w:rsidR="00C50F13" w:rsidRPr="00985B97" w:rsidRDefault="00C50F13" w:rsidP="00985B97">
            <w:pPr>
              <w:jc w:val="center"/>
              <w:textAlignment w:val="baseline"/>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Sesión</w:t>
            </w:r>
          </w:p>
        </w:tc>
      </w:tr>
      <w:tr w:rsidR="00C50F13" w:rsidRPr="00985B97" w14:paraId="1C592021" w14:textId="77777777" w:rsidTr="003D3896">
        <w:trPr>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732D13B7" w14:textId="77777777" w:rsidR="00C50F13" w:rsidRPr="00985B97" w:rsidRDefault="00C50F13" w:rsidP="00985B97">
            <w:pPr>
              <w:jc w:val="center"/>
              <w:textAlignment w:val="baseline"/>
              <w:rPr>
                <w:rFonts w:asciiTheme="majorHAnsi" w:hAnsiTheme="majorHAnsi" w:cstheme="majorHAnsi"/>
                <w:lang w:val="es-ES"/>
              </w:rPr>
            </w:pPr>
            <w:r w:rsidRPr="00985B97">
              <w:rPr>
                <w:rFonts w:asciiTheme="majorHAnsi" w:hAnsiTheme="majorHAnsi" w:cstheme="majorHAnsi"/>
                <w:color w:val="242424"/>
                <w:lang w:val="es-ES"/>
              </w:rPr>
              <w:t>Proposición 108 de 2024</w:t>
            </w:r>
          </w:p>
        </w:tc>
        <w:tc>
          <w:tcPr>
            <w:tcW w:w="2175" w:type="dxa"/>
            <w:vAlign w:val="center"/>
            <w:hideMark/>
          </w:tcPr>
          <w:p w14:paraId="235A599B"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Racionamiento del servicio de energía</w:t>
            </w:r>
          </w:p>
        </w:tc>
        <w:tc>
          <w:tcPr>
            <w:tcW w:w="2250" w:type="dxa"/>
            <w:vAlign w:val="center"/>
            <w:hideMark/>
          </w:tcPr>
          <w:p w14:paraId="5C2C482E"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Sin cuestionario previo a la sesión</w:t>
            </w:r>
          </w:p>
        </w:tc>
        <w:tc>
          <w:tcPr>
            <w:tcW w:w="1750" w:type="dxa"/>
            <w:vAlign w:val="center"/>
            <w:hideMark/>
          </w:tcPr>
          <w:p w14:paraId="29D9E162"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Senado - Comisión V</w:t>
            </w:r>
          </w:p>
        </w:tc>
        <w:tc>
          <w:tcPr>
            <w:tcW w:w="1397" w:type="dxa"/>
            <w:vAlign w:val="center"/>
            <w:hideMark/>
          </w:tcPr>
          <w:p w14:paraId="26A829D2"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Enlace </w:t>
            </w:r>
            <w:hyperlink r:id="rId81" w:tgtFrame="_blank" w:history="1">
              <w:r w:rsidRPr="00985B97">
                <w:rPr>
                  <w:rFonts w:asciiTheme="majorHAnsi" w:hAnsiTheme="majorHAnsi" w:cstheme="majorHAnsi"/>
                  <w:color w:val="467886"/>
                  <w:u w:val="single"/>
                  <w:lang w:val="es-ES"/>
                </w:rPr>
                <w:t>aquí</w:t>
              </w:r>
            </w:hyperlink>
          </w:p>
        </w:tc>
      </w:tr>
      <w:tr w:rsidR="00C50F13" w:rsidRPr="00985B97" w14:paraId="0E44D2ED" w14:textId="77777777" w:rsidTr="003D3896">
        <w:trPr>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2232465E" w14:textId="77777777" w:rsidR="00C50F13" w:rsidRPr="00985B97" w:rsidRDefault="00C50F13" w:rsidP="00985B97">
            <w:pPr>
              <w:jc w:val="center"/>
              <w:textAlignment w:val="baseline"/>
              <w:rPr>
                <w:rFonts w:asciiTheme="majorHAnsi" w:hAnsiTheme="majorHAnsi" w:cstheme="majorHAnsi"/>
              </w:rPr>
            </w:pPr>
            <w:r w:rsidRPr="00985B97">
              <w:rPr>
                <w:rFonts w:asciiTheme="majorHAnsi" w:hAnsiTheme="majorHAnsi" w:cstheme="majorHAnsi"/>
                <w:color w:val="242424"/>
                <w:lang w:val="es-ES"/>
              </w:rPr>
              <w:t>Proposición 011 de 2024</w:t>
            </w:r>
          </w:p>
        </w:tc>
        <w:tc>
          <w:tcPr>
            <w:tcW w:w="2175" w:type="dxa"/>
            <w:vAlign w:val="center"/>
            <w:hideMark/>
          </w:tcPr>
          <w:p w14:paraId="7DC23659"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242424"/>
                <w:lang w:val="es-ES"/>
              </w:rPr>
              <w:t>Tarifas en el servicio de energía eléctrica y adición a la proposición</w:t>
            </w:r>
          </w:p>
        </w:tc>
        <w:tc>
          <w:tcPr>
            <w:tcW w:w="2250" w:type="dxa"/>
            <w:vAlign w:val="center"/>
            <w:hideMark/>
          </w:tcPr>
          <w:p w14:paraId="1EABE8FF"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-Enlace a </w:t>
            </w:r>
            <w:hyperlink r:id="rId82" w:tgtFrame="_blank" w:history="1">
              <w:r w:rsidRPr="00985B97">
                <w:rPr>
                  <w:rFonts w:asciiTheme="majorHAnsi" w:hAnsiTheme="majorHAnsi" w:cstheme="majorHAnsi"/>
                  <w:color w:val="467886"/>
                  <w:u w:val="single"/>
                  <w:lang w:val="es-ES"/>
                </w:rPr>
                <w:t>primera respuesta</w:t>
              </w:r>
            </w:hyperlink>
            <w:r w:rsidRPr="00985B97">
              <w:rPr>
                <w:rFonts w:asciiTheme="majorHAnsi" w:hAnsiTheme="majorHAnsi" w:cstheme="majorHAnsi"/>
                <w:color w:val="242424"/>
                <w:lang w:val="es-ES"/>
              </w:rPr>
              <w:t> de la proposición.</w:t>
            </w:r>
          </w:p>
          <w:p w14:paraId="4416516F"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lang w:val="es-ES"/>
              </w:rPr>
              <w:t>-</w:t>
            </w:r>
            <w:hyperlink r:id="rId83" w:tgtFrame="_blank" w:history="1">
              <w:r w:rsidRPr="00985B97">
                <w:rPr>
                  <w:rFonts w:asciiTheme="majorHAnsi" w:hAnsiTheme="majorHAnsi" w:cstheme="majorHAnsi"/>
                  <w:color w:val="467886"/>
                  <w:u w:val="single"/>
                  <w:lang w:val="es-ES"/>
                </w:rPr>
                <w:t>Respuesta a adición</w:t>
              </w:r>
            </w:hyperlink>
            <w:r w:rsidRPr="00985B97">
              <w:rPr>
                <w:rFonts w:asciiTheme="majorHAnsi" w:hAnsiTheme="majorHAnsi" w:cstheme="majorHAnsi"/>
                <w:color w:val="242424"/>
                <w:lang w:val="es-ES"/>
              </w:rPr>
              <w:t> de la proposición.</w:t>
            </w:r>
          </w:p>
        </w:tc>
        <w:tc>
          <w:tcPr>
            <w:tcW w:w="1750" w:type="dxa"/>
            <w:vAlign w:val="center"/>
            <w:hideMark/>
          </w:tcPr>
          <w:p w14:paraId="273EDE27"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Senado - Comisión VI</w:t>
            </w:r>
          </w:p>
        </w:tc>
        <w:tc>
          <w:tcPr>
            <w:tcW w:w="1397" w:type="dxa"/>
            <w:vAlign w:val="center"/>
            <w:hideMark/>
          </w:tcPr>
          <w:p w14:paraId="31DD34F1"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Enlace </w:t>
            </w:r>
            <w:hyperlink r:id="rId84" w:tgtFrame="_blank" w:history="1">
              <w:r w:rsidRPr="00985B97">
                <w:rPr>
                  <w:rFonts w:asciiTheme="majorHAnsi" w:hAnsiTheme="majorHAnsi" w:cstheme="majorHAnsi"/>
                  <w:color w:val="467886"/>
                  <w:u w:val="single"/>
                  <w:lang w:val="es-ES"/>
                </w:rPr>
                <w:t>aquí</w:t>
              </w:r>
            </w:hyperlink>
          </w:p>
        </w:tc>
      </w:tr>
      <w:tr w:rsidR="00C50F13" w:rsidRPr="00985B97" w14:paraId="41B10CB3" w14:textId="77777777" w:rsidTr="003D3896">
        <w:trPr>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015C8B9E" w14:textId="77777777" w:rsidR="00C50F13" w:rsidRPr="00985B97" w:rsidRDefault="00C50F13" w:rsidP="00985B97">
            <w:pPr>
              <w:jc w:val="center"/>
              <w:textAlignment w:val="baseline"/>
              <w:rPr>
                <w:rFonts w:asciiTheme="majorHAnsi" w:hAnsiTheme="majorHAnsi" w:cstheme="majorHAnsi"/>
              </w:rPr>
            </w:pPr>
            <w:r w:rsidRPr="00985B97">
              <w:rPr>
                <w:rFonts w:asciiTheme="majorHAnsi" w:hAnsiTheme="majorHAnsi" w:cstheme="majorHAnsi"/>
                <w:color w:val="242424"/>
                <w:lang w:val="es-ES"/>
              </w:rPr>
              <w:t>Proposición 013 de 2024</w:t>
            </w:r>
          </w:p>
        </w:tc>
        <w:tc>
          <w:tcPr>
            <w:tcW w:w="2175" w:type="dxa"/>
            <w:vAlign w:val="center"/>
            <w:hideMark/>
          </w:tcPr>
          <w:p w14:paraId="5664E4BE"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242424"/>
                <w:lang w:val="es-ES"/>
              </w:rPr>
              <w:t>TEJ y abastecimiento de gas</w:t>
            </w:r>
          </w:p>
        </w:tc>
        <w:tc>
          <w:tcPr>
            <w:tcW w:w="2250" w:type="dxa"/>
            <w:vAlign w:val="center"/>
            <w:hideMark/>
          </w:tcPr>
          <w:p w14:paraId="77A83DA4"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Enlace a </w:t>
            </w:r>
            <w:hyperlink r:id="rId85" w:tgtFrame="_blank" w:history="1">
              <w:r w:rsidRPr="00985B97">
                <w:rPr>
                  <w:rFonts w:asciiTheme="majorHAnsi" w:hAnsiTheme="majorHAnsi" w:cstheme="majorHAnsi"/>
                  <w:color w:val="467886"/>
                  <w:u w:val="single"/>
                  <w:lang w:val="es-ES"/>
                </w:rPr>
                <w:t>respuesta</w:t>
              </w:r>
            </w:hyperlink>
          </w:p>
        </w:tc>
        <w:tc>
          <w:tcPr>
            <w:tcW w:w="1750" w:type="dxa"/>
            <w:vAlign w:val="center"/>
            <w:hideMark/>
          </w:tcPr>
          <w:p w14:paraId="0C51A21C"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Senado - Comisión VII</w:t>
            </w:r>
          </w:p>
        </w:tc>
        <w:tc>
          <w:tcPr>
            <w:tcW w:w="1397" w:type="dxa"/>
            <w:vAlign w:val="center"/>
            <w:hideMark/>
          </w:tcPr>
          <w:p w14:paraId="32C4C472"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p>
        </w:tc>
      </w:tr>
      <w:tr w:rsidR="00C50F13" w:rsidRPr="00985B97" w14:paraId="68235B19" w14:textId="77777777" w:rsidTr="003D3896">
        <w:trPr>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40410D36" w14:textId="77777777" w:rsidR="00C50F13" w:rsidRPr="00985B97" w:rsidRDefault="00C50F13" w:rsidP="00985B97">
            <w:pPr>
              <w:jc w:val="center"/>
              <w:textAlignment w:val="baseline"/>
              <w:rPr>
                <w:rFonts w:asciiTheme="majorHAnsi" w:hAnsiTheme="majorHAnsi" w:cstheme="majorHAnsi"/>
              </w:rPr>
            </w:pPr>
            <w:r w:rsidRPr="00985B97">
              <w:rPr>
                <w:rFonts w:asciiTheme="majorHAnsi" w:hAnsiTheme="majorHAnsi" w:cstheme="majorHAnsi"/>
                <w:color w:val="242424"/>
                <w:lang w:val="es-ES"/>
              </w:rPr>
              <w:t>Proposición 014 de 2025</w:t>
            </w:r>
          </w:p>
        </w:tc>
        <w:tc>
          <w:tcPr>
            <w:tcW w:w="2175" w:type="dxa"/>
            <w:vAlign w:val="center"/>
            <w:hideMark/>
          </w:tcPr>
          <w:p w14:paraId="1AA4B6D2"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242424"/>
                <w:lang w:val="es-ES"/>
              </w:rPr>
              <w:t>Presupuesto sector minero-energético</w:t>
            </w:r>
          </w:p>
        </w:tc>
        <w:tc>
          <w:tcPr>
            <w:tcW w:w="2250" w:type="dxa"/>
            <w:vAlign w:val="center"/>
            <w:hideMark/>
          </w:tcPr>
          <w:p w14:paraId="3C0666D6"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Enlace a </w:t>
            </w:r>
            <w:hyperlink r:id="rId86" w:tgtFrame="_blank" w:history="1">
              <w:r w:rsidRPr="00985B97">
                <w:rPr>
                  <w:rFonts w:asciiTheme="majorHAnsi" w:hAnsiTheme="majorHAnsi" w:cstheme="majorHAnsi"/>
                  <w:color w:val="467886"/>
                  <w:u w:val="single"/>
                  <w:lang w:val="es-ES"/>
                </w:rPr>
                <w:t>respuesta</w:t>
              </w:r>
            </w:hyperlink>
          </w:p>
        </w:tc>
        <w:tc>
          <w:tcPr>
            <w:tcW w:w="1750" w:type="dxa"/>
            <w:vAlign w:val="center"/>
            <w:hideMark/>
          </w:tcPr>
          <w:p w14:paraId="5CA403B2"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Cámara de Representantes - Comisión V</w:t>
            </w:r>
          </w:p>
        </w:tc>
        <w:tc>
          <w:tcPr>
            <w:tcW w:w="1397" w:type="dxa"/>
            <w:vAlign w:val="center"/>
            <w:hideMark/>
          </w:tcPr>
          <w:p w14:paraId="1B2EA958"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p>
        </w:tc>
      </w:tr>
      <w:tr w:rsidR="00C50F13" w:rsidRPr="00985B97" w14:paraId="348AA1D7" w14:textId="77777777" w:rsidTr="003D3896">
        <w:trPr>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2F6ACEE3" w14:textId="77777777" w:rsidR="00C50F13" w:rsidRPr="00985B97" w:rsidRDefault="00C50F13" w:rsidP="00985B97">
            <w:pPr>
              <w:jc w:val="center"/>
              <w:textAlignment w:val="baseline"/>
              <w:rPr>
                <w:rFonts w:asciiTheme="majorHAnsi" w:hAnsiTheme="majorHAnsi" w:cstheme="majorHAnsi"/>
              </w:rPr>
            </w:pPr>
            <w:r w:rsidRPr="00985B97">
              <w:rPr>
                <w:rFonts w:asciiTheme="majorHAnsi" w:hAnsiTheme="majorHAnsi" w:cstheme="majorHAnsi"/>
                <w:color w:val="242424"/>
                <w:lang w:val="es-ES"/>
              </w:rPr>
              <w:t>Proposición 023 de 2025</w:t>
            </w:r>
          </w:p>
        </w:tc>
        <w:tc>
          <w:tcPr>
            <w:tcW w:w="2175" w:type="dxa"/>
            <w:vAlign w:val="center"/>
            <w:hideMark/>
          </w:tcPr>
          <w:p w14:paraId="2F8F9728"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242424"/>
                <w:lang w:val="es-ES"/>
              </w:rPr>
              <w:t>Avances en la TEJ</w:t>
            </w:r>
          </w:p>
        </w:tc>
        <w:tc>
          <w:tcPr>
            <w:tcW w:w="2250" w:type="dxa"/>
            <w:vAlign w:val="center"/>
            <w:hideMark/>
          </w:tcPr>
          <w:p w14:paraId="32A6B851"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Enlace a </w:t>
            </w:r>
            <w:hyperlink r:id="rId87" w:tgtFrame="_blank" w:history="1">
              <w:r w:rsidRPr="00985B97">
                <w:rPr>
                  <w:rFonts w:asciiTheme="majorHAnsi" w:hAnsiTheme="majorHAnsi" w:cstheme="majorHAnsi"/>
                  <w:color w:val="467886"/>
                  <w:u w:val="single"/>
                  <w:lang w:val="es-ES"/>
                </w:rPr>
                <w:t>respuesta</w:t>
              </w:r>
            </w:hyperlink>
          </w:p>
        </w:tc>
        <w:tc>
          <w:tcPr>
            <w:tcW w:w="1750" w:type="dxa"/>
            <w:vAlign w:val="center"/>
            <w:hideMark/>
          </w:tcPr>
          <w:p w14:paraId="40F9CCA6"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Cámara de Representantes - Comisión V</w:t>
            </w:r>
          </w:p>
        </w:tc>
        <w:tc>
          <w:tcPr>
            <w:tcW w:w="1397" w:type="dxa"/>
            <w:vAlign w:val="center"/>
            <w:hideMark/>
          </w:tcPr>
          <w:p w14:paraId="4A2CD23F"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p>
        </w:tc>
      </w:tr>
      <w:tr w:rsidR="00C50F13" w:rsidRPr="00985B97" w14:paraId="06040972" w14:textId="77777777" w:rsidTr="003D3896">
        <w:trPr>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456F7E9C" w14:textId="77777777" w:rsidR="00C50F13" w:rsidRPr="00985B97" w:rsidRDefault="00C50F13" w:rsidP="00985B97">
            <w:pPr>
              <w:jc w:val="center"/>
              <w:textAlignment w:val="baseline"/>
              <w:rPr>
                <w:rFonts w:asciiTheme="majorHAnsi" w:hAnsiTheme="majorHAnsi" w:cstheme="majorHAnsi"/>
              </w:rPr>
            </w:pPr>
            <w:r w:rsidRPr="00985B97">
              <w:rPr>
                <w:rFonts w:asciiTheme="majorHAnsi" w:hAnsiTheme="majorHAnsi" w:cstheme="majorHAnsi"/>
                <w:color w:val="242424"/>
                <w:lang w:val="es-ES"/>
              </w:rPr>
              <w:t>Proposición 033 de 2025</w:t>
            </w:r>
          </w:p>
        </w:tc>
        <w:tc>
          <w:tcPr>
            <w:tcW w:w="2175" w:type="dxa"/>
            <w:vAlign w:val="center"/>
            <w:hideMark/>
          </w:tcPr>
          <w:p w14:paraId="615907C7"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985B97">
              <w:rPr>
                <w:rFonts w:asciiTheme="majorHAnsi" w:hAnsiTheme="majorHAnsi" w:cstheme="majorHAnsi"/>
                <w:color w:val="242424"/>
                <w:lang w:val="es-ES"/>
              </w:rPr>
              <w:t>Informe sector minero</w:t>
            </w:r>
          </w:p>
        </w:tc>
        <w:tc>
          <w:tcPr>
            <w:tcW w:w="2250" w:type="dxa"/>
            <w:vAlign w:val="center"/>
            <w:hideMark/>
          </w:tcPr>
          <w:p w14:paraId="2F8C46B8"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Enlace a </w:t>
            </w:r>
            <w:hyperlink r:id="rId88" w:tgtFrame="_blank" w:history="1">
              <w:r w:rsidRPr="00985B97">
                <w:rPr>
                  <w:rFonts w:asciiTheme="majorHAnsi" w:hAnsiTheme="majorHAnsi" w:cstheme="majorHAnsi"/>
                  <w:color w:val="467886"/>
                  <w:u w:val="single"/>
                  <w:lang w:val="es-ES"/>
                </w:rPr>
                <w:t>respuesta</w:t>
              </w:r>
            </w:hyperlink>
          </w:p>
        </w:tc>
        <w:tc>
          <w:tcPr>
            <w:tcW w:w="1750" w:type="dxa"/>
            <w:vAlign w:val="center"/>
            <w:hideMark/>
          </w:tcPr>
          <w:p w14:paraId="3381CA20"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Senado - Comisión I</w:t>
            </w:r>
          </w:p>
        </w:tc>
        <w:tc>
          <w:tcPr>
            <w:tcW w:w="1397" w:type="dxa"/>
            <w:vAlign w:val="center"/>
            <w:hideMark/>
          </w:tcPr>
          <w:p w14:paraId="1533F9D4"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p>
        </w:tc>
      </w:tr>
      <w:tr w:rsidR="00C50F13" w:rsidRPr="00985B97" w14:paraId="12DD932A" w14:textId="77777777" w:rsidTr="003D3896">
        <w:trPr>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63EAFC34" w14:textId="77777777" w:rsidR="00C50F13" w:rsidRPr="00985B97" w:rsidRDefault="00C50F13" w:rsidP="00985B97">
            <w:pPr>
              <w:jc w:val="center"/>
              <w:textAlignment w:val="baseline"/>
              <w:rPr>
                <w:rFonts w:asciiTheme="majorHAnsi" w:hAnsiTheme="majorHAnsi" w:cstheme="majorHAnsi"/>
                <w:lang w:val="es-ES"/>
              </w:rPr>
            </w:pPr>
            <w:r w:rsidRPr="00985B97">
              <w:rPr>
                <w:rFonts w:asciiTheme="majorHAnsi" w:hAnsiTheme="majorHAnsi" w:cstheme="majorHAnsi"/>
                <w:color w:val="242424"/>
                <w:lang w:val="es-ES"/>
              </w:rPr>
              <w:t>Proposición 036 de 2025</w:t>
            </w:r>
          </w:p>
        </w:tc>
        <w:tc>
          <w:tcPr>
            <w:tcW w:w="2175" w:type="dxa"/>
            <w:vAlign w:val="center"/>
            <w:hideMark/>
          </w:tcPr>
          <w:p w14:paraId="48DA5405"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Situación del gas natural</w:t>
            </w:r>
          </w:p>
        </w:tc>
        <w:tc>
          <w:tcPr>
            <w:tcW w:w="2250" w:type="dxa"/>
            <w:vAlign w:val="center"/>
            <w:hideMark/>
          </w:tcPr>
          <w:p w14:paraId="7AD62AB1"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Enlace a </w:t>
            </w:r>
            <w:hyperlink r:id="rId89" w:tgtFrame="_blank" w:history="1">
              <w:r w:rsidRPr="00985B97">
                <w:rPr>
                  <w:rFonts w:asciiTheme="majorHAnsi" w:hAnsiTheme="majorHAnsi" w:cstheme="majorHAnsi"/>
                  <w:color w:val="467886"/>
                  <w:u w:val="single"/>
                  <w:lang w:val="es-ES"/>
                </w:rPr>
                <w:t>respuesta</w:t>
              </w:r>
            </w:hyperlink>
          </w:p>
        </w:tc>
        <w:tc>
          <w:tcPr>
            <w:tcW w:w="1750" w:type="dxa"/>
            <w:vAlign w:val="center"/>
            <w:hideMark/>
          </w:tcPr>
          <w:p w14:paraId="0530B134"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Cámara de Representantes - Comisión V</w:t>
            </w:r>
          </w:p>
        </w:tc>
        <w:tc>
          <w:tcPr>
            <w:tcW w:w="1397" w:type="dxa"/>
            <w:vAlign w:val="center"/>
            <w:hideMark/>
          </w:tcPr>
          <w:p w14:paraId="380AD6C2"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p>
        </w:tc>
      </w:tr>
      <w:tr w:rsidR="00C50F13" w:rsidRPr="00985B97" w14:paraId="15E38A6E" w14:textId="77777777" w:rsidTr="003D3896">
        <w:trPr>
          <w:trHeight w:val="30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59637F0F" w14:textId="77777777" w:rsidR="00C50F13" w:rsidRPr="00985B97" w:rsidRDefault="00C50F13" w:rsidP="00985B97">
            <w:pPr>
              <w:jc w:val="center"/>
              <w:textAlignment w:val="baseline"/>
              <w:rPr>
                <w:rFonts w:asciiTheme="majorHAnsi" w:hAnsiTheme="majorHAnsi" w:cstheme="majorHAnsi"/>
                <w:lang w:val="es-ES"/>
              </w:rPr>
            </w:pPr>
            <w:r w:rsidRPr="00985B97">
              <w:rPr>
                <w:rFonts w:asciiTheme="majorHAnsi" w:hAnsiTheme="majorHAnsi" w:cstheme="majorHAnsi"/>
                <w:color w:val="242424"/>
                <w:lang w:val="es-ES"/>
              </w:rPr>
              <w:t>Proposición 191 de 2025</w:t>
            </w:r>
          </w:p>
        </w:tc>
        <w:tc>
          <w:tcPr>
            <w:tcW w:w="2175" w:type="dxa"/>
            <w:vAlign w:val="center"/>
            <w:hideMark/>
          </w:tcPr>
          <w:p w14:paraId="590E4341"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Cierre PRODECO</w:t>
            </w:r>
          </w:p>
        </w:tc>
        <w:tc>
          <w:tcPr>
            <w:tcW w:w="2250" w:type="dxa"/>
            <w:vAlign w:val="center"/>
            <w:hideMark/>
          </w:tcPr>
          <w:p w14:paraId="13370888"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Enlace a </w:t>
            </w:r>
            <w:hyperlink r:id="rId90" w:tgtFrame="_blank" w:history="1">
              <w:r w:rsidRPr="00985B97">
                <w:rPr>
                  <w:rFonts w:asciiTheme="majorHAnsi" w:hAnsiTheme="majorHAnsi" w:cstheme="majorHAnsi"/>
                  <w:color w:val="467886"/>
                  <w:u w:val="single"/>
                  <w:lang w:val="es-ES"/>
                </w:rPr>
                <w:t>respuesta</w:t>
              </w:r>
            </w:hyperlink>
          </w:p>
        </w:tc>
        <w:tc>
          <w:tcPr>
            <w:tcW w:w="1750" w:type="dxa"/>
            <w:vAlign w:val="center"/>
            <w:hideMark/>
          </w:tcPr>
          <w:p w14:paraId="414EFCCF"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r w:rsidRPr="00985B97">
              <w:rPr>
                <w:rFonts w:asciiTheme="majorHAnsi" w:hAnsiTheme="majorHAnsi" w:cstheme="majorHAnsi"/>
                <w:color w:val="242424"/>
                <w:lang w:val="es-ES"/>
              </w:rPr>
              <w:t>Senado - Comisión V</w:t>
            </w:r>
          </w:p>
        </w:tc>
        <w:tc>
          <w:tcPr>
            <w:tcW w:w="1397" w:type="dxa"/>
            <w:vAlign w:val="center"/>
            <w:hideMark/>
          </w:tcPr>
          <w:p w14:paraId="0E455BE8" w14:textId="77777777" w:rsidR="00C50F13" w:rsidRPr="00985B97" w:rsidRDefault="00C50F13" w:rsidP="00985B97">
            <w:pPr>
              <w:jc w:val="center"/>
              <w:textAlignment w:val="baseline"/>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s-ES"/>
              </w:rPr>
            </w:pPr>
          </w:p>
        </w:tc>
      </w:tr>
    </w:tbl>
    <w:p w14:paraId="55426BCF"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b/>
          <w:bCs/>
        </w:rPr>
        <w:t>Fuente:</w:t>
      </w:r>
      <w:r w:rsidRPr="00985B97">
        <w:rPr>
          <w:rFonts w:asciiTheme="majorHAnsi" w:hAnsiTheme="majorHAnsi" w:cstheme="majorHAnsi"/>
        </w:rPr>
        <w:t xml:space="preserve"> Elaboración propia</w:t>
      </w:r>
    </w:p>
    <w:p w14:paraId="702ED9D6" w14:textId="77777777" w:rsidR="00C50F13" w:rsidRPr="00985B97" w:rsidRDefault="00C50F13" w:rsidP="00985B97">
      <w:pPr>
        <w:pStyle w:val="Ttulo4"/>
        <w:rPr>
          <w:rFonts w:asciiTheme="majorHAnsi" w:hAnsiTheme="majorHAnsi" w:cstheme="majorHAnsi"/>
          <w:sz w:val="22"/>
          <w:szCs w:val="22"/>
          <w:lang w:val="es-ES"/>
        </w:rPr>
      </w:pPr>
      <w:r w:rsidRPr="00985B97">
        <w:rPr>
          <w:rFonts w:asciiTheme="majorHAnsi" w:hAnsiTheme="majorHAnsi" w:cstheme="majorHAnsi"/>
          <w:sz w:val="22"/>
          <w:szCs w:val="22"/>
          <w:lang w:val="es-ES"/>
        </w:rPr>
        <w:lastRenderedPageBreak/>
        <w:t>I) Proposición 108 de 2024 </w:t>
      </w:r>
    </w:p>
    <w:p w14:paraId="5067C753"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Durante el debate, los congresistas señalaron los altos costos de la energía, que afectan de manera desproporcionada a los hogares más vulnerables y a las pequeñas empresas. La percepción general es que las tarifas han aumentado sin que exista una explicación clara ni una compensación suficiente para los usuarios. En segundo lugar, se denunció la desigualdad regional en las tarifas, especialmente en la Costa Caribe, donde los costos son más elevados que en otras zonas del país. Este punto fue presentado como una muestra de inequidad y abandono estatal hacia regiones históricamente marginadas. En tercer lugar, los legisladores advirtieron sobre la insostenibilidad de los subsidios que, si bien alivian temporalmente la carga de los usuarios, representan un riesgo para las finanzas públicas si no se reforman de manera estructural. Finalmente, se cuestionó la planeación energética del Ministerio, acusándolo de no comunicar con suficiente transparencia los costos, plazos y beneficios de la transición hacia energías renovables, lo que genera desconfianza y dificulta el respaldo político a las iniciativas del </w:t>
      </w:r>
      <w:r w:rsidR="001D4B0A" w:rsidRPr="00985B97">
        <w:rPr>
          <w:rFonts w:asciiTheme="majorHAnsi" w:hAnsiTheme="majorHAnsi" w:cstheme="majorHAnsi"/>
          <w:lang w:val="es-ES"/>
        </w:rPr>
        <w:t>ejecutivo</w:t>
      </w:r>
      <w:r w:rsidRPr="00985B97">
        <w:rPr>
          <w:rFonts w:asciiTheme="majorHAnsi" w:hAnsiTheme="majorHAnsi" w:cstheme="majorHAnsi"/>
          <w:lang w:val="es-ES"/>
        </w:rPr>
        <w:t>. </w:t>
      </w:r>
    </w:p>
    <w:p w14:paraId="38569A3D"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b/>
          <w:bCs/>
          <w:lang w:val="es-ES"/>
        </w:rPr>
        <w:t>Principales críticas del legislativo:</w:t>
      </w:r>
      <w:r w:rsidRPr="00985B97">
        <w:rPr>
          <w:rFonts w:asciiTheme="majorHAnsi" w:hAnsiTheme="majorHAnsi" w:cstheme="majorHAnsi"/>
          <w:lang w:val="es-ES"/>
        </w:rPr>
        <w:t> </w:t>
      </w:r>
    </w:p>
    <w:p w14:paraId="6D67DCE4" w14:textId="77777777" w:rsidR="00C50F13" w:rsidRPr="00985B97" w:rsidRDefault="00C50F13" w:rsidP="00721806">
      <w:pPr>
        <w:numPr>
          <w:ilvl w:val="0"/>
          <w:numId w:val="3"/>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Transición energética: Se cuestionó la velocidad y claridad de la transición hacia energías limpias, señalando riesgos de desabastecimiento si se reduce demasiado rápido la dependencia de hidrocarburos. </w:t>
      </w:r>
    </w:p>
    <w:p w14:paraId="449202A6" w14:textId="77777777" w:rsidR="00C50F13" w:rsidRPr="00985B97" w:rsidRDefault="00C50F13" w:rsidP="00721806">
      <w:pPr>
        <w:numPr>
          <w:ilvl w:val="0"/>
          <w:numId w:val="4"/>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Tarifas de energía: Varios congresistas criticaron el aumento en los costos de electricidad y gas, pidiendo medidas más efectivas para proteger a los usuarios. </w:t>
      </w:r>
    </w:p>
    <w:p w14:paraId="307C82D5" w14:textId="77777777" w:rsidR="00C50F13" w:rsidRPr="00985B97" w:rsidRDefault="00C50F13" w:rsidP="00721806">
      <w:pPr>
        <w:numPr>
          <w:ilvl w:val="0"/>
          <w:numId w:val="5"/>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Explotación minera: Se plantearon preocupaciones sobre impactos ambientales y sociales, especialmente en territorios indígenas y campesinos. </w:t>
      </w:r>
    </w:p>
    <w:p w14:paraId="33B3E7C4" w14:textId="77777777" w:rsidR="00C50F13" w:rsidRPr="00985B97" w:rsidRDefault="00C50F13" w:rsidP="00721806">
      <w:pPr>
        <w:numPr>
          <w:ilvl w:val="0"/>
          <w:numId w:val="6"/>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Relación con comunidades: Legisladores exigieron mayor consulta previa y participación ciudadana en proyectos energéticos y mineros. </w:t>
      </w:r>
    </w:p>
    <w:p w14:paraId="17CF217F"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b/>
          <w:bCs/>
          <w:lang w:val="es-ES"/>
        </w:rPr>
        <w:t>Estrategia del MME:</w:t>
      </w:r>
      <w:r w:rsidRPr="00985B97">
        <w:rPr>
          <w:rFonts w:asciiTheme="majorHAnsi" w:hAnsiTheme="majorHAnsi" w:cstheme="majorHAnsi"/>
          <w:lang w:val="es-ES"/>
        </w:rPr>
        <w:t> </w:t>
      </w:r>
    </w:p>
    <w:p w14:paraId="0044D012" w14:textId="77777777" w:rsidR="00C50F13" w:rsidRPr="00985B97" w:rsidRDefault="00C50F13" w:rsidP="00721806">
      <w:pPr>
        <w:numPr>
          <w:ilvl w:val="0"/>
          <w:numId w:val="7"/>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Plan de transición: El Ministerio defendió que la transición debe ser gradual, garantizando seguridad energética y estabilidad económica. </w:t>
      </w:r>
    </w:p>
    <w:p w14:paraId="6AEEE83A" w14:textId="77777777" w:rsidR="00C50F13" w:rsidRPr="00985B97" w:rsidRDefault="00C50F13" w:rsidP="00721806">
      <w:pPr>
        <w:numPr>
          <w:ilvl w:val="0"/>
          <w:numId w:val="8"/>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lastRenderedPageBreak/>
        <w:t>Subsidios y regulación: Se mencionaron programas de subsidios y ajustes regulatorios para mitigar el impacto de las tarifas. </w:t>
      </w:r>
    </w:p>
    <w:p w14:paraId="6A4FE0EC" w14:textId="77777777" w:rsidR="00C50F13" w:rsidRPr="00985B97" w:rsidRDefault="00C50F13" w:rsidP="00721806">
      <w:pPr>
        <w:numPr>
          <w:ilvl w:val="0"/>
          <w:numId w:val="9"/>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Inversión en renovables: Se destacaron proyectos solares y eólicos en marcha, aunque reconocieron retrasos por trámites y conflictos sociales. </w:t>
      </w:r>
    </w:p>
    <w:p w14:paraId="15749C86" w14:textId="77777777" w:rsidR="00C50F13" w:rsidRPr="00985B97" w:rsidRDefault="00C50F13" w:rsidP="00721806">
      <w:pPr>
        <w:numPr>
          <w:ilvl w:val="0"/>
          <w:numId w:val="10"/>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Diálogo con comunidades: El Ministerio afirmó estar fortaleciendo mecanismos de participación, aunque admitió que aún hay brechas. </w:t>
      </w:r>
    </w:p>
    <w:p w14:paraId="35A56B8A"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De manera unánime, los congresistas insistieron en la necesidad de acelerar la transición energética, pero al mismo tiempo alertaron sobre los riesgos de desabastecimiento y el impacto económico de una reducción abrupta en la explotación de hidrocarburo. Esto obliga al Ministerio a diseñar una hoja de ruta que combine gradualidad con resultados visibles ante una percepción de improvisación de esta cartera, que debilita la confianza política. </w:t>
      </w:r>
    </w:p>
    <w:p w14:paraId="261B6314"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Los legisladores reclamaron medidas más contundentes para aliviar la carga de los hogares y sectores productivos, mientras el Ministerio defendió los mecanismos regulatorios y subsidios existentes, aunque reconoció que la estructura tarifaria sigue siendo inequitativa. Adicionalmente, existe una gran presión sobre la explotación minera, en tanto los congresistas cuestionaron los impactos ambientales y sociales, exigiendo mayor consulta previa y participación ciudadana. El Ministerio respondió con compromisos de diálogo, pero la brecha entre discurso y práctica aún genera desconfianza. </w:t>
      </w:r>
    </w:p>
    <w:p w14:paraId="03B4B6DC"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El mayor reto para el Ministerio es articular una relación más fluida con el legislativo, que no se limite a responder cuestionamientos puntuales, sino que construya consensos duraderos sobre el modelo energético y minero del país. Esto implica fortalecer la comunicación institucional, presentar informes periódicos con indicadores claros, acelerar la ejecución de proyectos de energías renovables, y garantizar que las comunidades afectadas participen de manera real en la toma de decisiones. Es importante para la entidad demostrar capacidad de gestión, sensibilidad territorial y voluntad de concertación, porque de lo contrario, el legislativo podría ser reticente las iniciativas en el marco de transición energética, debilitando la gobernabilidad del ejecutivo. </w:t>
      </w:r>
    </w:p>
    <w:p w14:paraId="46D7B910" w14:textId="77777777" w:rsidR="00C50F13" w:rsidRPr="00985B97" w:rsidRDefault="00C50F13" w:rsidP="00985B97">
      <w:pPr>
        <w:pStyle w:val="Ttulo4"/>
        <w:rPr>
          <w:rFonts w:asciiTheme="majorHAnsi" w:hAnsiTheme="majorHAnsi" w:cstheme="majorHAnsi"/>
          <w:sz w:val="22"/>
          <w:szCs w:val="22"/>
          <w:lang w:val="es-ES"/>
        </w:rPr>
      </w:pPr>
      <w:r w:rsidRPr="00985B97">
        <w:rPr>
          <w:rFonts w:asciiTheme="majorHAnsi" w:hAnsiTheme="majorHAnsi" w:cstheme="majorHAnsi"/>
          <w:sz w:val="22"/>
          <w:szCs w:val="22"/>
          <w:lang w:val="es-ES"/>
        </w:rPr>
        <w:lastRenderedPageBreak/>
        <w:t>II) Proposición 011 de 2024 </w:t>
      </w:r>
    </w:p>
    <w:p w14:paraId="5CE37BEB"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El debate de control político se centró en las tarifas de energía eléctrica y sus impactos económicos. Sin embargo, más allá de la coyuntura tarifaria, el trasfondo del debate revela tensiones estructurales entre el ejecutivo (Ministerio) y el legislativo (Congreso) en torno a la transición energética. </w:t>
      </w:r>
    </w:p>
    <w:p w14:paraId="1E15CFCC"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b/>
          <w:bCs/>
          <w:lang w:val="es-ES"/>
        </w:rPr>
        <w:t>Principales críticas del legislativo:</w:t>
      </w:r>
      <w:r w:rsidRPr="00985B97">
        <w:rPr>
          <w:rFonts w:asciiTheme="majorHAnsi" w:hAnsiTheme="majorHAnsi" w:cstheme="majorHAnsi"/>
          <w:lang w:val="es-ES"/>
        </w:rPr>
        <w:t> </w:t>
      </w:r>
    </w:p>
    <w:p w14:paraId="45D18E64" w14:textId="77777777" w:rsidR="00C50F13" w:rsidRPr="00985B97" w:rsidRDefault="00C50F13" w:rsidP="00721806">
      <w:pPr>
        <w:numPr>
          <w:ilvl w:val="0"/>
          <w:numId w:val="11"/>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Altos costos de energía: Congresistas señalaron que las tarifas han crecido de manera desproporcionada respecto al ingreso de los hogares. </w:t>
      </w:r>
    </w:p>
    <w:p w14:paraId="13505E89" w14:textId="77777777" w:rsidR="00C50F13" w:rsidRPr="00985B97" w:rsidRDefault="00C50F13" w:rsidP="00721806">
      <w:pPr>
        <w:numPr>
          <w:ilvl w:val="0"/>
          <w:numId w:val="12"/>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Desigualdad regional: Se denunció que la Costa Caribe y otras zonas pagan tarifas más altas que el promedio nacional. </w:t>
      </w:r>
    </w:p>
    <w:p w14:paraId="0D4756D5" w14:textId="77777777" w:rsidR="00C50F13" w:rsidRPr="00985B97" w:rsidRDefault="00C50F13" w:rsidP="00721806">
      <w:pPr>
        <w:numPr>
          <w:ilvl w:val="0"/>
          <w:numId w:val="13"/>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Gestión de subsidios: Se cuestionó la sostenibilidad de los subsidios y la falta de claridad en su aplicación. </w:t>
      </w:r>
    </w:p>
    <w:p w14:paraId="04DAF18A" w14:textId="77777777" w:rsidR="00C50F13" w:rsidRPr="00985B97" w:rsidRDefault="00C50F13" w:rsidP="00721806">
      <w:pPr>
        <w:numPr>
          <w:ilvl w:val="0"/>
          <w:numId w:val="14"/>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Planeación energética: Legisladores reclamaron una estrategia más clara para diversificar la matriz energética y reducir dependencia de fuentes costosas. </w:t>
      </w:r>
    </w:p>
    <w:p w14:paraId="5E70EB89" w14:textId="77777777" w:rsidR="00C50F13" w:rsidRPr="00985B97" w:rsidRDefault="00C50F13" w:rsidP="00721806">
      <w:pPr>
        <w:numPr>
          <w:ilvl w:val="0"/>
          <w:numId w:val="15"/>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Visión de corto vs largo plazo: El Congreso exige soluciones inmediatas (reducción de tarifas), mientras el Ministerio plantea estrategias de largo plazo (transición energética). </w:t>
      </w:r>
    </w:p>
    <w:p w14:paraId="2D08CDA6" w14:textId="77777777" w:rsidR="00C50F13" w:rsidRPr="00985B97" w:rsidRDefault="00C50F13" w:rsidP="00721806">
      <w:pPr>
        <w:numPr>
          <w:ilvl w:val="0"/>
          <w:numId w:val="16"/>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Desconfianza política: Los congresistas cuestionan la transparencia en la planeación y ejecución de proyectos energéticos. </w:t>
      </w:r>
    </w:p>
    <w:p w14:paraId="45C61BD7" w14:textId="77777777" w:rsidR="00C50F13" w:rsidRPr="00985B97" w:rsidRDefault="00C50F13" w:rsidP="00721806">
      <w:pPr>
        <w:numPr>
          <w:ilvl w:val="0"/>
          <w:numId w:val="17"/>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Fragmentación regional: El Congreso representa intereses regionales diversos, lo que dificulta consensos nacionales. </w:t>
      </w:r>
    </w:p>
    <w:p w14:paraId="5C26EC55"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b/>
          <w:bCs/>
          <w:lang w:val="es-ES"/>
        </w:rPr>
        <w:t>Estrategia del MME:</w:t>
      </w:r>
      <w:r w:rsidRPr="00985B97">
        <w:rPr>
          <w:rFonts w:asciiTheme="majorHAnsi" w:hAnsiTheme="majorHAnsi" w:cstheme="majorHAnsi"/>
          <w:lang w:val="es-ES"/>
        </w:rPr>
        <w:t> </w:t>
      </w:r>
    </w:p>
    <w:p w14:paraId="5C4561ED" w14:textId="77777777" w:rsidR="00C50F13" w:rsidRPr="00985B97" w:rsidRDefault="00C50F13" w:rsidP="00721806">
      <w:pPr>
        <w:numPr>
          <w:ilvl w:val="0"/>
          <w:numId w:val="18"/>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Justificación técnica: El </w:t>
      </w:r>
      <w:proofErr w:type="gramStart"/>
      <w:r w:rsidRPr="00985B97">
        <w:rPr>
          <w:rFonts w:asciiTheme="majorHAnsi" w:hAnsiTheme="majorHAnsi" w:cstheme="majorHAnsi"/>
          <w:lang w:val="es-ES"/>
        </w:rPr>
        <w:t>Ministro</w:t>
      </w:r>
      <w:proofErr w:type="gramEnd"/>
      <w:r w:rsidRPr="00985B97">
        <w:rPr>
          <w:rFonts w:asciiTheme="majorHAnsi" w:hAnsiTheme="majorHAnsi" w:cstheme="majorHAnsi"/>
          <w:lang w:val="es-ES"/>
        </w:rPr>
        <w:t> explicó que los incrementos responden a factores como la inflación, costos de generación y transporte, y ajustes regulatorios. </w:t>
      </w:r>
    </w:p>
    <w:p w14:paraId="6CCAB443" w14:textId="77777777" w:rsidR="00C50F13" w:rsidRPr="00985B97" w:rsidRDefault="00C50F13" w:rsidP="00721806">
      <w:pPr>
        <w:numPr>
          <w:ilvl w:val="0"/>
          <w:numId w:val="19"/>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lastRenderedPageBreak/>
        <w:t>Compromiso con la transición energética: Se resaltó la necesidad de avanzar hacia energías renovables, aunque reconoció que la transición implica costos iniciales. </w:t>
      </w:r>
    </w:p>
    <w:p w14:paraId="37724F26" w14:textId="77777777" w:rsidR="00C50F13" w:rsidRPr="00985B97" w:rsidRDefault="00C50F13" w:rsidP="00721806">
      <w:pPr>
        <w:numPr>
          <w:ilvl w:val="0"/>
          <w:numId w:val="20"/>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Diálogo con el Congreso: El Ministerio manifestó disposición a trabajar con el legislativo en reformas regulatorias y esquemas de alivio tarifario, no obstante, el debate no solo trató de tarifas, sino que expuso la falta de articulación entre Congreso y Ministerio para avanzar en la transición energética. </w:t>
      </w:r>
    </w:p>
    <w:p w14:paraId="3753325B"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En el marco del debate de control político sobre el Ministerio de Minas y Energía, los retos identificados se concentran en la necesidad de garantizar la equidad tarifaria, asegurar la sostenibilidad fiscal de los subsidios, fortalecer la transparencia regulatoria y acelerar la transición energética sin comprometer la estabilidad del sistema eléctrico. </w:t>
      </w:r>
    </w:p>
    <w:p w14:paraId="0DBFA6D3"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Mientras el Ministerio presenta una visión técnica y estratégica de largo plazo, el Congreso realiza un debate más político, dejando fuera de sus consideraciones muchos de los argumentos técnicos, lo que genera tensiones que retrasan la implementación de políticas estructurales. Para superar estas limitaciones y avanzar hacia una matriz energética más limpia, justa y competitiva, sería deseable crear espacios de diálogo permanentes con las comisiones asociadas a minas y energía en el Congreso (es decir, comisión V y VI de Cámara y Senado), en donde se establezcan mecanismos de comunicación claros y periódicos sobre proyectos y tarifas que ayuden a fortalecer la confianza política entre las dos instituciones. </w:t>
      </w:r>
    </w:p>
    <w:p w14:paraId="0C6FB75C" w14:textId="77777777" w:rsidR="00C50F13" w:rsidRPr="00985B97" w:rsidRDefault="00C50F13" w:rsidP="00985B97">
      <w:pPr>
        <w:pStyle w:val="Ttulo4"/>
        <w:rPr>
          <w:rFonts w:asciiTheme="majorHAnsi" w:hAnsiTheme="majorHAnsi" w:cstheme="majorHAnsi"/>
          <w:sz w:val="22"/>
          <w:szCs w:val="22"/>
          <w:lang w:val="es-ES"/>
        </w:rPr>
      </w:pPr>
      <w:r w:rsidRPr="00985B97">
        <w:rPr>
          <w:rFonts w:asciiTheme="majorHAnsi" w:hAnsiTheme="majorHAnsi" w:cstheme="majorHAnsi"/>
          <w:sz w:val="22"/>
          <w:szCs w:val="22"/>
          <w:lang w:val="es-ES"/>
        </w:rPr>
        <w:t>III) Proposición 013 de 2024  </w:t>
      </w:r>
    </w:p>
    <w:p w14:paraId="34D9FB92"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La Proposición fue presentada por el Representante Ferney Silva Idrobo en el marco de una sesión descentralizada (debate de control político) sobre dos ejes: (i) la Transición Energética Justa (TEJ) y sus impactos en tarifas, generación renovable e inclusión social; y (</w:t>
      </w:r>
      <w:proofErr w:type="spellStart"/>
      <w:r w:rsidRPr="00985B97">
        <w:rPr>
          <w:rFonts w:asciiTheme="majorHAnsi" w:hAnsiTheme="majorHAnsi" w:cstheme="majorHAnsi"/>
          <w:lang w:val="es-ES"/>
        </w:rPr>
        <w:t>ii</w:t>
      </w:r>
      <w:proofErr w:type="spellEnd"/>
      <w:r w:rsidRPr="00985B97">
        <w:rPr>
          <w:rFonts w:asciiTheme="majorHAnsi" w:hAnsiTheme="majorHAnsi" w:cstheme="majorHAnsi"/>
          <w:lang w:val="es-ES"/>
        </w:rPr>
        <w:t>) las medidas de abastecimiento de gas ante el déficit proyectado. El debate buscaba fiscalizar las acciones del Gobierno Nacional, específicamente del MME, en materias críticas para la economía y la ciudadanía. </w:t>
      </w:r>
    </w:p>
    <w:p w14:paraId="2994DDE4"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En respuesta a las preguntas formuladas en el debate de control político, el MME resaltó las siguientes acciones: </w:t>
      </w:r>
    </w:p>
    <w:p w14:paraId="4F11431A" w14:textId="77777777" w:rsidR="00C50F13" w:rsidRPr="00985B97" w:rsidRDefault="00C50F13" w:rsidP="00721806">
      <w:pPr>
        <w:numPr>
          <w:ilvl w:val="0"/>
          <w:numId w:val="21"/>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lastRenderedPageBreak/>
        <w:t>El “Pacto por la Justicia Tarifaria”: Acuerdos con gremios y empresas para expedir regulación de corto plazo (Resoluciones CREG 101 027, 101 029, 101 031 de 2022) que ajustaron indexadores (IPP e IPC) y flexibilizaron restricciones operativas. </w:t>
      </w:r>
    </w:p>
    <w:p w14:paraId="64481D07" w14:textId="77777777" w:rsidR="00C50F13" w:rsidRPr="00985B97" w:rsidRDefault="00C50F13" w:rsidP="00721806">
      <w:pPr>
        <w:numPr>
          <w:ilvl w:val="0"/>
          <w:numId w:val="22"/>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Renegociación de contratos: Se renegociaron 857 contratos (53% para mercado regulado), según Circular CREG 097 de 2022. </w:t>
      </w:r>
    </w:p>
    <w:p w14:paraId="3D8E748D" w14:textId="77777777" w:rsidR="00C50F13" w:rsidRPr="00985B97" w:rsidRDefault="00C50F13" w:rsidP="00721806">
      <w:pPr>
        <w:numPr>
          <w:ilvl w:val="0"/>
          <w:numId w:val="23"/>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Proyecto de Decreto de eficiencia tarifaria: Establece directrices para la CREG sobre revisión de fórmulas tarifarias, unificación de tarifas de transporte y separación de cobros en la factura. </w:t>
      </w:r>
    </w:p>
    <w:p w14:paraId="1D1A2B5A" w14:textId="77777777" w:rsidR="00C50F13" w:rsidRPr="00985B97" w:rsidRDefault="00C50F13" w:rsidP="00721806">
      <w:pPr>
        <w:numPr>
          <w:ilvl w:val="0"/>
          <w:numId w:val="24"/>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Mesas de trabajo con agentes del mercado: Se listan 14 mesas realizadas entre abril y junio de 2024 con actores como ACOLGEN, AFINIA, AIR-E, EPM, ANDEG, ENEL, ISAGEN, etc. </w:t>
      </w:r>
    </w:p>
    <w:p w14:paraId="0FFDE547" w14:textId="77777777" w:rsidR="00C50F13" w:rsidRPr="00985B97" w:rsidRDefault="00C50F13" w:rsidP="00721806">
      <w:pPr>
        <w:numPr>
          <w:ilvl w:val="0"/>
          <w:numId w:val="25"/>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Acuerdo para asumir la deuda de opción tarifaria: El Estado propuso asumir los saldos de la opción tarifaria de estratos 1, 2 y 3 (estimados en 2,7 billones de pesos), mediante líneas de crédito de FINDETER (Decretos 1637/2023 y 268/2024) y un proyecto de ley (presentado el 20 de julio de 2024). </w:t>
      </w:r>
    </w:p>
    <w:p w14:paraId="1A519682" w14:textId="77777777" w:rsidR="00C50F13" w:rsidRPr="00985B97" w:rsidRDefault="00C50F13" w:rsidP="00721806">
      <w:pPr>
        <w:numPr>
          <w:ilvl w:val="0"/>
          <w:numId w:val="26"/>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Resolución MME 40225 de 2024: Da lineamientos a la CREG para titularización de la deuda, renegociación de contratos y energía a menor precio para áreas especiales. </w:t>
      </w:r>
    </w:p>
    <w:p w14:paraId="4707B82B" w14:textId="77777777" w:rsidR="00C50F13" w:rsidRPr="00985B97" w:rsidRDefault="00C50F13" w:rsidP="00721806">
      <w:pPr>
        <w:numPr>
          <w:ilvl w:val="0"/>
          <w:numId w:val="27"/>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Tope al precio de bolsa (Resolución CREG 101 066 de 2024): Fija dos precios de escasez, con un tope máximo de $359 COP/kWh para fuentes renovables, hídricas y de carbón. </w:t>
      </w:r>
    </w:p>
    <w:p w14:paraId="0E311347" w14:textId="77777777" w:rsidR="00C50F13" w:rsidRPr="00985B97" w:rsidRDefault="00C50F13" w:rsidP="00721806">
      <w:pPr>
        <w:numPr>
          <w:ilvl w:val="0"/>
          <w:numId w:val="28"/>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Desactivación del estatuto de confiabilidad (Resolución CREG 026 de 2014): Al mejorar los niveles de embalses, se evitó la activación de precios de escasez más altos. </w:t>
      </w:r>
    </w:p>
    <w:p w14:paraId="0BBD537A" w14:textId="77777777" w:rsidR="00C50F13" w:rsidRPr="00985B97" w:rsidRDefault="00C50F13" w:rsidP="00721806">
      <w:pPr>
        <w:numPr>
          <w:ilvl w:val="0"/>
          <w:numId w:val="29"/>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Separación de cobros en factura (proyecto de decreto): Para que los usuarios puedan ver discriminadamente los conceptos. </w:t>
      </w:r>
    </w:p>
    <w:p w14:paraId="79382A23" w14:textId="77777777" w:rsidR="00C50F13" w:rsidRPr="00985B97" w:rsidRDefault="00C50F13" w:rsidP="00721806">
      <w:pPr>
        <w:numPr>
          <w:ilvl w:val="0"/>
          <w:numId w:val="30"/>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Revisión de fórmula tarifaria para estratos 1 y 2 (Resolución CREG 705 007 en consulta): Para que las reducciones tarifarias se reflejen efectivamente en la factura y no solo disminuyan el subsidio. </w:t>
      </w:r>
    </w:p>
    <w:p w14:paraId="7AB5711B"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lastRenderedPageBreak/>
        <w:t>En su respuesta, el MME explicó la hoja de ruta clara para enfrentar el déficit de gas, diversificando fuentes (importación) y flexibilizando la regulación. No obstante, es importante coordinar una respuesta como sector por parte de la UPM, la ANH y en general, las entidades adscritas y vinculadas al MME, para garantizar la unidad de criterio frente al legislativo.  </w:t>
      </w:r>
    </w:p>
    <w:p w14:paraId="1DC10455" w14:textId="77777777" w:rsidR="00C50F13" w:rsidRPr="00985B97" w:rsidRDefault="00C50F13" w:rsidP="00985B97">
      <w:pPr>
        <w:pStyle w:val="Ttulo4"/>
        <w:rPr>
          <w:rFonts w:asciiTheme="majorHAnsi" w:hAnsiTheme="majorHAnsi" w:cstheme="majorHAnsi"/>
          <w:sz w:val="22"/>
          <w:szCs w:val="22"/>
          <w:lang w:val="es-ES"/>
        </w:rPr>
      </w:pPr>
      <w:r w:rsidRPr="00985B97">
        <w:rPr>
          <w:rFonts w:asciiTheme="majorHAnsi" w:hAnsiTheme="majorHAnsi" w:cstheme="majorHAnsi"/>
          <w:sz w:val="22"/>
          <w:szCs w:val="22"/>
          <w:lang w:val="es-ES"/>
        </w:rPr>
        <w:t>IV) Proposición 014 de 2025  </w:t>
      </w:r>
    </w:p>
    <w:p w14:paraId="10CFFD89"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La Proposición 014 de 2025 buscó conocer y evaluar la distribución del presupuesto del sector minero-energético para la vigencia fiscal 2026, con énfasis en los criterios de asignación, los recursos destinados a la Transición Energética Justa (TEJ) y las partidas para la protección de comunidades afectadas por proyectos extractivos.</w:t>
      </w:r>
    </w:p>
    <w:p w14:paraId="163E1D48"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El Ministerio identifica tres proyectos de inversión para 2026 destinados a la TEJ:</w:t>
      </w:r>
    </w:p>
    <w:p w14:paraId="67F60295" w14:textId="77777777" w:rsidR="00C50F13" w:rsidRPr="00985B97" w:rsidRDefault="00C50F13" w:rsidP="00721806">
      <w:pPr>
        <w:pStyle w:val="Prrafodelista"/>
        <w:numPr>
          <w:ilvl w:val="0"/>
          <w:numId w:val="31"/>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Implementación de soluciones de generación fotovoltaica para la reducción del costo de servicio eléctrico en estratos 1, 2 y 3 del SIN (Programa Colombia Solar): $372.133.529.088.</w:t>
      </w:r>
    </w:p>
    <w:p w14:paraId="63CE0D81" w14:textId="77777777" w:rsidR="00C50F13" w:rsidRPr="00985B97" w:rsidRDefault="00C50F13" w:rsidP="00721806">
      <w:pPr>
        <w:pStyle w:val="Prrafodelista"/>
        <w:numPr>
          <w:ilvl w:val="0"/>
          <w:numId w:val="31"/>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Desarrollo de estrategias de implementación en la conformación y financiación de comunidades energéticas con FNCER: $300.000.000.000.</w:t>
      </w:r>
    </w:p>
    <w:p w14:paraId="72E905F8" w14:textId="77777777" w:rsidR="00C50F13" w:rsidRPr="00985B97" w:rsidRDefault="00C50F13" w:rsidP="00721806">
      <w:pPr>
        <w:pStyle w:val="Prrafodelista"/>
        <w:numPr>
          <w:ilvl w:val="0"/>
          <w:numId w:val="31"/>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Ampliación de la cobertura del servicio de energía eléctrica en Zonas No Interconectadas (ZNI): $146.666.076.186.</w:t>
      </w:r>
    </w:p>
    <w:p w14:paraId="709701D0"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proofErr w:type="gramStart"/>
      <w:r w:rsidRPr="00985B97">
        <w:rPr>
          <w:rFonts w:asciiTheme="majorHAnsi" w:hAnsiTheme="majorHAnsi" w:cstheme="majorHAnsi"/>
          <w:lang w:val="es-ES"/>
        </w:rPr>
        <w:t>Total</w:t>
      </w:r>
      <w:proofErr w:type="gramEnd"/>
      <w:r w:rsidRPr="00985B97">
        <w:rPr>
          <w:rFonts w:asciiTheme="majorHAnsi" w:hAnsiTheme="majorHAnsi" w:cstheme="majorHAnsi"/>
          <w:lang w:val="es-ES"/>
        </w:rPr>
        <w:t xml:space="preserve"> de recursos identificados explícitamente para TEJ en 2026:  818.799.605.274</w:t>
      </w:r>
    </w:p>
    <w:p w14:paraId="6C2D792D"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Sobre la ejecución efectiva, el Ministerio informó que se cuenta con “plan de trabajo y cronograma definidos”, “programación clara de metas y productos”, “asignación de responsables” y “seguimiento permanente de hitos y avance”.</w:t>
      </w:r>
    </w:p>
    <w:p w14:paraId="278EB3DA"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La proposición no fue citada a debate de control político.</w:t>
      </w:r>
    </w:p>
    <w:p w14:paraId="28967974" w14:textId="77777777" w:rsidR="00C50F13" w:rsidRPr="00985B97" w:rsidRDefault="00C50F13" w:rsidP="00985B97">
      <w:pPr>
        <w:pStyle w:val="Ttulo4"/>
        <w:rPr>
          <w:rFonts w:asciiTheme="majorHAnsi" w:hAnsiTheme="majorHAnsi" w:cstheme="majorHAnsi"/>
          <w:sz w:val="22"/>
          <w:szCs w:val="22"/>
          <w:lang w:val="es-ES"/>
        </w:rPr>
      </w:pPr>
      <w:r w:rsidRPr="00985B97">
        <w:rPr>
          <w:rFonts w:asciiTheme="majorHAnsi" w:hAnsiTheme="majorHAnsi" w:cstheme="majorHAnsi"/>
          <w:sz w:val="22"/>
          <w:szCs w:val="22"/>
          <w:lang w:val="es-ES"/>
        </w:rPr>
        <w:t>V) Proposición 023 de 2025  </w:t>
      </w:r>
    </w:p>
    <w:p w14:paraId="2FBE2704"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El debate busca evaluar los avances de la política pública de Transición Energética Justa (TEJ) en el período 2022-2025, con un enfoque territorial obligatorio en el Distrito Especial de Barrancabermeja (Santander), </w:t>
      </w:r>
      <w:r w:rsidRPr="00985B97">
        <w:rPr>
          <w:rFonts w:asciiTheme="majorHAnsi" w:hAnsiTheme="majorHAnsi" w:cstheme="majorHAnsi"/>
          <w:lang w:val="es-ES"/>
        </w:rPr>
        <w:lastRenderedPageBreak/>
        <w:t>principal polo de refinación de petróleo del país y un territorio que enfrenta los impactos sociales y económicos del declive de la industria de hidrocarburos.</w:t>
      </w:r>
    </w:p>
    <w:p w14:paraId="2CEB900F"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La proposición contiene cinco preguntas estructuradas que abarcan:</w:t>
      </w:r>
    </w:p>
    <w:p w14:paraId="64024D7D" w14:textId="77777777" w:rsidR="00C50F13" w:rsidRPr="00985B97" w:rsidRDefault="00C50F13" w:rsidP="00721806">
      <w:pPr>
        <w:pStyle w:val="Prrafodelista"/>
        <w:numPr>
          <w:ilvl w:val="0"/>
          <w:numId w:val="32"/>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Grado de cumplimiento de la Hoja de Ruta TEJ, con metas cuantitativas y cualitativas, y su reflejo en Santander y Barrancabermeja.</w:t>
      </w:r>
    </w:p>
    <w:p w14:paraId="47639D89" w14:textId="77777777" w:rsidR="00C50F13" w:rsidRPr="00985B97" w:rsidRDefault="00C50F13" w:rsidP="00721806">
      <w:pPr>
        <w:pStyle w:val="Prrafodelista"/>
        <w:numPr>
          <w:ilvl w:val="0"/>
          <w:numId w:val="32"/>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Ejecución de los fondos e incentivos de la Ley 2099 de 2021 (incluyendo FONENERGIA, FENOGE, FAER), con especial énfasis en su operatividad y recursos captados.</w:t>
      </w:r>
    </w:p>
    <w:p w14:paraId="539F648A" w14:textId="77777777" w:rsidR="00C50F13" w:rsidRPr="00985B97" w:rsidRDefault="00C50F13" w:rsidP="00721806">
      <w:pPr>
        <w:pStyle w:val="Prrafodelista"/>
        <w:numPr>
          <w:ilvl w:val="0"/>
          <w:numId w:val="32"/>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Tres proyectos emblemáticos financiados por la Ley 2099, señalando ubicación, inversión, estado y si Santander o Barrancabermeja han sido beneficiarios.</w:t>
      </w:r>
    </w:p>
    <w:p w14:paraId="24E0DED2" w14:textId="77777777" w:rsidR="00C50F13" w:rsidRPr="00985B97" w:rsidRDefault="00C50F13" w:rsidP="00721806">
      <w:pPr>
        <w:pStyle w:val="Prrafodelista"/>
        <w:numPr>
          <w:ilvl w:val="0"/>
          <w:numId w:val="32"/>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Acciones específicas del Ministerio en Barrancabermeja (2022-2025): proyectos de energía limpia, acompañamiento técnico, reconversión laboral y capacitación.</w:t>
      </w:r>
    </w:p>
    <w:p w14:paraId="61D0EC36" w14:textId="77777777" w:rsidR="00C50F13" w:rsidRPr="00985B97" w:rsidRDefault="00C50F13" w:rsidP="00721806">
      <w:pPr>
        <w:pStyle w:val="Prrafodelista"/>
        <w:numPr>
          <w:ilvl w:val="0"/>
          <w:numId w:val="32"/>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Medidas para atender las afectaciones sociales y económicas en el corregimiento El Centro (Barrancabermeja), derivadas de la desinversión en el campo La </w:t>
      </w:r>
      <w:proofErr w:type="spellStart"/>
      <w:r w:rsidRPr="00985B97">
        <w:rPr>
          <w:rFonts w:asciiTheme="majorHAnsi" w:hAnsiTheme="majorHAnsi" w:cstheme="majorHAnsi"/>
          <w:lang w:val="es-ES"/>
        </w:rPr>
        <w:t>Cira</w:t>
      </w:r>
      <w:proofErr w:type="spellEnd"/>
      <w:r w:rsidRPr="00985B97">
        <w:rPr>
          <w:rFonts w:asciiTheme="majorHAnsi" w:hAnsiTheme="majorHAnsi" w:cstheme="majorHAnsi"/>
          <w:lang w:val="es-ES"/>
        </w:rPr>
        <w:t>-Infantas, que ha generado desempleo colectivo.</w:t>
      </w:r>
    </w:p>
    <w:p w14:paraId="2702D03A"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El Ministerio estructura su respuesta en varios ejes estratégicos de la TEJ:</w:t>
      </w:r>
    </w:p>
    <w:p w14:paraId="31FAF72B" w14:textId="77777777" w:rsidR="00C50F13" w:rsidRPr="00985B97" w:rsidRDefault="00C50F13" w:rsidP="00721806">
      <w:pPr>
        <w:pStyle w:val="Prrafodelista"/>
        <w:numPr>
          <w:ilvl w:val="0"/>
          <w:numId w:val="33"/>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Reindustrialización: Destaca la creación del Centro de Aprendizaje Minero (CAM) (plataforma web con más de 120 ofertas formativas), la Red de Centros de Desarrollo Minero (seis centros construidos con una inversión superior a los $50.000 millones en municipios como El Bagre, Puerto Berrío, Marmato, San Miguel, Santa Rosa del Sur y Guachetá), y los Consultorios Técnico-Jurídicos implementados en convenio con universidades (Universidad Nacional, UPTC, Universidad Francisco de Paula Santander), que atendieron a cientos de mineros en Antioquia, Boyacá, Norte de Santander, etc.</w:t>
      </w:r>
    </w:p>
    <w:p w14:paraId="03E90C02" w14:textId="77777777" w:rsidR="00C50F13" w:rsidRPr="00985B97" w:rsidRDefault="00C50F13" w:rsidP="00985B97">
      <w:pPr>
        <w:pStyle w:val="Prrafodelista"/>
        <w:pBdr>
          <w:top w:val="nil"/>
          <w:left w:val="nil"/>
          <w:bottom w:val="nil"/>
          <w:right w:val="nil"/>
          <w:between w:val="nil"/>
        </w:pBdr>
        <w:spacing w:before="240" w:after="0"/>
        <w:jc w:val="both"/>
        <w:rPr>
          <w:rFonts w:asciiTheme="majorHAnsi" w:hAnsiTheme="majorHAnsi" w:cstheme="majorHAnsi"/>
          <w:lang w:val="es-ES"/>
        </w:rPr>
      </w:pPr>
    </w:p>
    <w:p w14:paraId="1E7E64F9" w14:textId="77777777" w:rsidR="00C50F13" w:rsidRPr="00985B97" w:rsidRDefault="00C50F13" w:rsidP="00721806">
      <w:pPr>
        <w:pStyle w:val="Prrafodelista"/>
        <w:numPr>
          <w:ilvl w:val="0"/>
          <w:numId w:val="33"/>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Diversificación productiva: Explica la implementación del artículo 231 de la Ley 2294 de 2023 (Distritos Mineros Especiales para la Diversificación Productiva) y el Decreto 0977 de 2024 que lo reglamenta. Presenta una tabla detallada de 16 distritos mineros proyectados en departamentos como Antioquia, Nariño, Cauca, Chocó, Valle, Caldas, Córdoba, Cesar, La Guajira, Boyacá, </w:t>
      </w:r>
      <w:r w:rsidRPr="00985B97">
        <w:rPr>
          <w:rFonts w:asciiTheme="majorHAnsi" w:hAnsiTheme="majorHAnsi" w:cstheme="majorHAnsi"/>
          <w:lang w:val="es-ES"/>
        </w:rPr>
        <w:lastRenderedPageBreak/>
        <w:t>Cundinamarca, Norte de Santander y Huila, clasificados por enfoque (formalización o descarbonización/reindustrialización). Menciona que el Distrito del Bajo Cauca Antioqueño ya fue delimitado mediante Resolución 40436 de 2024.</w:t>
      </w:r>
    </w:p>
    <w:p w14:paraId="71F4596E" w14:textId="77777777" w:rsidR="00C50F13" w:rsidRPr="00985B97" w:rsidRDefault="00C50F13" w:rsidP="00985B97">
      <w:pPr>
        <w:pStyle w:val="Prrafodelista"/>
        <w:pBdr>
          <w:top w:val="nil"/>
          <w:left w:val="nil"/>
          <w:bottom w:val="nil"/>
          <w:right w:val="nil"/>
          <w:between w:val="nil"/>
        </w:pBdr>
        <w:spacing w:before="240" w:after="0"/>
        <w:jc w:val="both"/>
        <w:rPr>
          <w:rFonts w:asciiTheme="majorHAnsi" w:hAnsiTheme="majorHAnsi" w:cstheme="majorHAnsi"/>
          <w:lang w:val="es-ES"/>
        </w:rPr>
      </w:pPr>
    </w:p>
    <w:p w14:paraId="4617BAE9" w14:textId="77777777" w:rsidR="00C50F13" w:rsidRPr="00985B97" w:rsidRDefault="00C50F13" w:rsidP="00721806">
      <w:pPr>
        <w:pStyle w:val="Prrafodelista"/>
        <w:numPr>
          <w:ilvl w:val="0"/>
          <w:numId w:val="33"/>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Formalización minera: Informa sobre el Plan Único de Legalización y Formalización Minera (abril de 2023), en desarrollo de la Ley 2250 de 2022.</w:t>
      </w:r>
    </w:p>
    <w:p w14:paraId="176A507E" w14:textId="77777777" w:rsidR="00C50F13" w:rsidRPr="00985B97" w:rsidRDefault="00C50F13" w:rsidP="00985B97">
      <w:pPr>
        <w:pStyle w:val="Prrafodelista"/>
        <w:pBdr>
          <w:top w:val="nil"/>
          <w:left w:val="nil"/>
          <w:bottom w:val="nil"/>
          <w:right w:val="nil"/>
          <w:between w:val="nil"/>
        </w:pBdr>
        <w:spacing w:before="240" w:after="0"/>
        <w:jc w:val="both"/>
        <w:rPr>
          <w:rFonts w:asciiTheme="majorHAnsi" w:hAnsiTheme="majorHAnsi" w:cstheme="majorHAnsi"/>
          <w:lang w:val="es-ES"/>
        </w:rPr>
      </w:pPr>
    </w:p>
    <w:p w14:paraId="649EAF10" w14:textId="77777777" w:rsidR="00C50F13" w:rsidRPr="00985B97" w:rsidRDefault="00C50F13" w:rsidP="00721806">
      <w:pPr>
        <w:pStyle w:val="Prrafodelista"/>
        <w:numPr>
          <w:ilvl w:val="0"/>
          <w:numId w:val="33"/>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Expansión de energías renovables (FNCER): Presenta la meta del Plan 6GW (6.000 MW de capacidad renovable entre 2022 </w:t>
      </w:r>
      <w:proofErr w:type="gramStart"/>
      <w:r w:rsidRPr="00985B97">
        <w:rPr>
          <w:rFonts w:asciiTheme="majorHAnsi" w:hAnsiTheme="majorHAnsi" w:cstheme="majorHAnsi"/>
          <w:lang w:val="es-ES"/>
        </w:rPr>
        <w:t>y ,</w:t>
      </w:r>
      <w:proofErr w:type="gramEnd"/>
      <w:r w:rsidRPr="00985B97">
        <w:rPr>
          <w:rFonts w:asciiTheme="majorHAnsi" w:hAnsiTheme="majorHAnsi" w:cstheme="majorHAnsi"/>
          <w:lang w:val="es-ES"/>
        </w:rPr>
        <w:t xml:space="preserve"> superando la meta del PND). Destaca que a la fecha se han puesto en operación comercial más de 1.800 MW de FNCER (un incremento de más de 10 veces la capacidad existente antes de 2022). Incluye una gráfica de evolución de la capacidad FNCER 2018-2025 y un plan de acción detallado (priorización de proyectos, mesas mensuales de seguimiento, reuniones con empresas, Mesas de Alto Nivel). Anexa acciones proyectadas para garantizar la incorporación efectiva de 6GW.</w:t>
      </w:r>
    </w:p>
    <w:p w14:paraId="36AEE8FB" w14:textId="77777777" w:rsidR="00C50F13" w:rsidRPr="00985B97" w:rsidRDefault="00C50F13" w:rsidP="00985B97">
      <w:pPr>
        <w:pStyle w:val="Prrafodelista"/>
        <w:pBdr>
          <w:top w:val="nil"/>
          <w:left w:val="nil"/>
          <w:bottom w:val="nil"/>
          <w:right w:val="nil"/>
          <w:between w:val="nil"/>
        </w:pBdr>
        <w:spacing w:before="240" w:after="0"/>
        <w:jc w:val="both"/>
        <w:rPr>
          <w:rFonts w:asciiTheme="majorHAnsi" w:hAnsiTheme="majorHAnsi" w:cstheme="majorHAnsi"/>
          <w:lang w:val="es-ES"/>
        </w:rPr>
      </w:pPr>
    </w:p>
    <w:p w14:paraId="6F2CBBCC" w14:textId="77777777" w:rsidR="00C50F13" w:rsidRPr="00985B97" w:rsidRDefault="00C50F13" w:rsidP="00721806">
      <w:pPr>
        <w:pStyle w:val="Prrafodelista"/>
        <w:numPr>
          <w:ilvl w:val="0"/>
          <w:numId w:val="33"/>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Municipios y Territorios Energéticos: Señala que 644 municipios (427 en total) se postularon, que se han realizado 135 visitas técnicas y que se cuenta con una línea de financiación con Findeter.</w:t>
      </w:r>
    </w:p>
    <w:p w14:paraId="222D806A" w14:textId="77777777" w:rsidR="00C50F13" w:rsidRPr="00985B97" w:rsidRDefault="00C50F13" w:rsidP="00985B97">
      <w:pPr>
        <w:pStyle w:val="Prrafodelista"/>
        <w:pBdr>
          <w:top w:val="nil"/>
          <w:left w:val="nil"/>
          <w:bottom w:val="nil"/>
          <w:right w:val="nil"/>
          <w:between w:val="nil"/>
        </w:pBdr>
        <w:spacing w:before="240" w:after="0"/>
        <w:jc w:val="both"/>
        <w:rPr>
          <w:rFonts w:asciiTheme="majorHAnsi" w:hAnsiTheme="majorHAnsi" w:cstheme="majorHAnsi"/>
          <w:lang w:val="es-ES"/>
        </w:rPr>
      </w:pPr>
    </w:p>
    <w:p w14:paraId="46A42D5C" w14:textId="77777777" w:rsidR="00C50F13" w:rsidRPr="00985B97" w:rsidRDefault="00C50F13" w:rsidP="00721806">
      <w:pPr>
        <w:pStyle w:val="Prrafodelista"/>
        <w:numPr>
          <w:ilvl w:val="0"/>
          <w:numId w:val="33"/>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Nuevos energéticos (Geotermia, Bioenergía, Hidrógeno):</w:t>
      </w:r>
    </w:p>
    <w:p w14:paraId="236D0DDF" w14:textId="77777777" w:rsidR="00C50F13" w:rsidRPr="00985B97" w:rsidRDefault="00C50F13" w:rsidP="00721806">
      <w:pPr>
        <w:pStyle w:val="Prrafodelista"/>
        <w:numPr>
          <w:ilvl w:val="1"/>
          <w:numId w:val="34"/>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Geotermia: Menciona el concepto de la ANLA (000021-7), la estructuración de un convenio con SGC, ANH y Bancóldex, la cooperación técnica del BID con US$9,53 millones, la modificación de la Resolución 40302 de 2022, y el otorgamiento de dos permisos de exploración (Nereidas, Azufral) y tres de explotación por coproducción (Campo Rumba, Apiay, Cubarral). Destaca la implementación de un ambiente de formación en geotermia de baja entalpía en el Centro de la Industria de Barrancabermeja (SENA).</w:t>
      </w:r>
    </w:p>
    <w:p w14:paraId="29B9E99F" w14:textId="77777777" w:rsidR="00C50F13" w:rsidRPr="00985B97" w:rsidRDefault="00C50F13" w:rsidP="00985B97">
      <w:pPr>
        <w:pStyle w:val="Prrafodelista"/>
        <w:pBdr>
          <w:top w:val="nil"/>
          <w:left w:val="nil"/>
          <w:bottom w:val="nil"/>
          <w:right w:val="nil"/>
          <w:between w:val="nil"/>
        </w:pBdr>
        <w:spacing w:before="240" w:after="0"/>
        <w:ind w:left="1440"/>
        <w:jc w:val="both"/>
        <w:rPr>
          <w:rFonts w:asciiTheme="majorHAnsi" w:hAnsiTheme="majorHAnsi" w:cstheme="majorHAnsi"/>
          <w:lang w:val="es-ES"/>
        </w:rPr>
      </w:pPr>
    </w:p>
    <w:p w14:paraId="5C4448C9" w14:textId="77777777" w:rsidR="00C50F13" w:rsidRPr="00985B97" w:rsidRDefault="00C50F13" w:rsidP="00721806">
      <w:pPr>
        <w:pStyle w:val="Prrafodelista"/>
        <w:numPr>
          <w:ilvl w:val="1"/>
          <w:numId w:val="34"/>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Bioenergía: Informa que entre 2022 y 2025 han entrado en operación 8 proyectos de generación eléctrica con biogás (45 MW), y que existe una hoja de ruta de SAF (combustibles sostenibles de aviación).</w:t>
      </w:r>
    </w:p>
    <w:p w14:paraId="42A9208F" w14:textId="77777777" w:rsidR="00C50F13" w:rsidRPr="00985B97" w:rsidRDefault="00C50F13" w:rsidP="00985B97">
      <w:pPr>
        <w:pStyle w:val="Prrafodelista"/>
        <w:rPr>
          <w:rFonts w:asciiTheme="majorHAnsi" w:hAnsiTheme="majorHAnsi" w:cstheme="majorHAnsi"/>
          <w:lang w:val="es-ES"/>
        </w:rPr>
      </w:pPr>
    </w:p>
    <w:p w14:paraId="6D52EA1C" w14:textId="77777777" w:rsidR="00C50F13" w:rsidRPr="00985B97" w:rsidRDefault="00C50F13" w:rsidP="00721806">
      <w:pPr>
        <w:pStyle w:val="Prrafodelista"/>
        <w:numPr>
          <w:ilvl w:val="1"/>
          <w:numId w:val="34"/>
        </w:num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Hidrógeno: Desglosa un conjunto muy amplio de acciones: Decreto 1476/2022, Decreto 2235/2023 (hidrógeno blanco), comité 259 de ICONTEC (36 normas técnicas adoptadas), hoja de ruta SAF (2025), Resolución 40165/2024 (sustitución de leña), Decreto 1403/2024 (autogeneración), Resolución 40379/2025 (reglas para </w:t>
      </w:r>
      <w:proofErr w:type="spellStart"/>
      <w:r w:rsidRPr="00985B97">
        <w:rPr>
          <w:rFonts w:asciiTheme="majorHAnsi" w:hAnsiTheme="majorHAnsi" w:cstheme="majorHAnsi"/>
          <w:lang w:val="es-ES"/>
        </w:rPr>
        <w:t>autogeneradores</w:t>
      </w:r>
      <w:proofErr w:type="spellEnd"/>
      <w:r w:rsidRPr="00985B97">
        <w:rPr>
          <w:rFonts w:asciiTheme="majorHAnsi" w:hAnsiTheme="majorHAnsi" w:cstheme="majorHAnsi"/>
          <w:lang w:val="es-ES"/>
        </w:rPr>
        <w:t>), Decreto 1597/2024 (derivados de hidrógeno), acompañamiento a proyectos de ley, estructuración de un CONPES para hidrógeno, estudios de infraestructura con IDOM-Banco Mundial, estrategia “Puertos Verdes”, cooperación con GIZ, proyectos emblemáticos (“</w:t>
      </w:r>
      <w:proofErr w:type="spellStart"/>
      <w:r w:rsidRPr="00985B97">
        <w:rPr>
          <w:rFonts w:asciiTheme="majorHAnsi" w:hAnsiTheme="majorHAnsi" w:cstheme="majorHAnsi"/>
          <w:lang w:val="es-ES"/>
        </w:rPr>
        <w:t>Protium</w:t>
      </w:r>
      <w:proofErr w:type="spellEnd"/>
      <w:r w:rsidRPr="00985B97">
        <w:rPr>
          <w:rFonts w:asciiTheme="majorHAnsi" w:hAnsiTheme="majorHAnsi" w:cstheme="majorHAnsi"/>
          <w:lang w:val="es-ES"/>
        </w:rPr>
        <w:t>” en Sabaneta y “Coral” en Cartagena con 5 MW de electrólisis), participación en LAC H2 SUMMIT, “Plataforma País” y “Ecosistema de Hidrógeno de Colombia (EcoH2)”.</w:t>
      </w:r>
    </w:p>
    <w:p w14:paraId="20EC1E0C"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El Ministerio informó que, aunque la Ley 2099 de 2021 creó FONENERGIA inicialmente como un patrimonio autónomo (fiducia), el artículo 247 de la Ley 2294 de 2023 (PND) cambió su naturaleza jurídica a un fondo cuenta administrado por el MME. Sin embargo, a la fecha de la respuesta, el Ministerio de Minas y Energía se encuentra a la espera de la aprobación del decreto reglamentario por parte del Ministerio de Hacienda y Crédito Público, por lo que FONENERGIA aún no ha iniciado operaciones y no ha captado ni ejecutado recursos.</w:t>
      </w:r>
    </w:p>
    <w:p w14:paraId="1D497F2A"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La proposición no fue llevada a debate de control político.</w:t>
      </w:r>
    </w:p>
    <w:p w14:paraId="27A028B4" w14:textId="77777777" w:rsidR="00C50F13" w:rsidRPr="00985B97" w:rsidRDefault="00C50F13" w:rsidP="00985B97">
      <w:pPr>
        <w:pStyle w:val="Ttulo4"/>
        <w:rPr>
          <w:rFonts w:asciiTheme="majorHAnsi" w:hAnsiTheme="majorHAnsi" w:cstheme="majorHAnsi"/>
          <w:sz w:val="22"/>
          <w:szCs w:val="22"/>
          <w:lang w:val="es-ES"/>
        </w:rPr>
      </w:pPr>
      <w:r w:rsidRPr="00985B97">
        <w:rPr>
          <w:rFonts w:asciiTheme="majorHAnsi" w:hAnsiTheme="majorHAnsi" w:cstheme="majorHAnsi"/>
          <w:sz w:val="22"/>
          <w:szCs w:val="22"/>
          <w:lang w:val="es-ES"/>
        </w:rPr>
        <w:t>VI) Proposición 033 de 2025  </w:t>
      </w:r>
    </w:p>
    <w:p w14:paraId="46464EF1"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color w:val="0F1115"/>
          <w:shd w:val="clear" w:color="auto" w:fill="FFFFFF"/>
        </w:rPr>
      </w:pPr>
      <w:r w:rsidRPr="00985B97">
        <w:rPr>
          <w:rFonts w:asciiTheme="majorHAnsi" w:hAnsiTheme="majorHAnsi" w:cstheme="majorHAnsi"/>
          <w:color w:val="0F1115"/>
          <w:shd w:val="clear" w:color="auto" w:fill="FFFFFF"/>
        </w:rPr>
        <w:t>El contenido de las casi 100 preguntas revela las preocupaciones recurrentes del Congreso: plazos de reglamentación, desembolsos presupuestales, congestión de trámites en la ANM, conflictos socioambientales no resueltos (Marmato, Santurbán, occidente de Boyacá) y, de fondo, la tensión entre la transición energética (que implica una reducción progresiva de la minería de carbón) y la protección de los medios de vida de mineros tradicionales.</w:t>
      </w:r>
    </w:p>
    <w:p w14:paraId="124F4D51"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El MME detalla los cronogramas para reglamentar artículos clave de la Ley 2250 de 2022 (economía circular, fondo de fomento minero, reconversión de actividades mineras). El hecho de que varios proyectos normativos estén en consulta pública o en revisión interna muestra un relacionamiento basado en la </w:t>
      </w:r>
      <w:r w:rsidRPr="00985B97">
        <w:rPr>
          <w:rFonts w:asciiTheme="majorHAnsi" w:hAnsiTheme="majorHAnsi" w:cstheme="majorHAnsi"/>
          <w:lang w:val="es-ES"/>
        </w:rPr>
        <w:lastRenderedPageBreak/>
        <w:t xml:space="preserve">transparencia procedimental, pero no necesariamente en la </w:t>
      </w:r>
      <w:proofErr w:type="spellStart"/>
      <w:r w:rsidRPr="00985B97">
        <w:rPr>
          <w:rFonts w:asciiTheme="majorHAnsi" w:hAnsiTheme="majorHAnsi" w:cstheme="majorHAnsi"/>
          <w:lang w:val="es-ES"/>
        </w:rPr>
        <w:t>co-construcción</w:t>
      </w:r>
      <w:proofErr w:type="spellEnd"/>
      <w:r w:rsidRPr="00985B97">
        <w:rPr>
          <w:rFonts w:asciiTheme="majorHAnsi" w:hAnsiTheme="majorHAnsi" w:cstheme="majorHAnsi"/>
          <w:lang w:val="es-ES"/>
        </w:rPr>
        <w:t xml:space="preserve"> política. Por lo anterior, sería deseable crear mesas técnicas permanentes con las comisiones de minas y energía del Congreso para discutir los proyectos normativos antes de su publicación oficial, anticipando objeciones y generando apropiación legislativa desde la fase temprana.</w:t>
      </w:r>
    </w:p>
    <w:p w14:paraId="0755E722"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color w:val="0F1115"/>
          <w:shd w:val="clear" w:color="auto" w:fill="FFFFFF"/>
        </w:rPr>
      </w:pPr>
      <w:r w:rsidRPr="00985B97">
        <w:rPr>
          <w:rFonts w:asciiTheme="majorHAnsi" w:hAnsiTheme="majorHAnsi" w:cstheme="majorHAnsi"/>
          <w:color w:val="0F1115"/>
          <w:shd w:val="clear" w:color="auto" w:fill="FFFFFF"/>
        </w:rPr>
        <w:t>Las preguntas sobre Marmato, el paro minero de Boyacá y Ubaté, y las actas de compromiso evidencian que el Congreso actúa como canal de las demandas regionales y, en ese sentido, la respuesta del MME incluye acuerdos suscritos (p.ej., “Acuerdo por la Transición Energética Justa y la dignidad de los pequeños mineros del carbón”) e información de encuentros territoriales, gestión que debe ser fortalecida por la entidad.</w:t>
      </w:r>
    </w:p>
    <w:p w14:paraId="0590BA81"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 xml:space="preserve">Aunque el documento se centra en el sector minero, varios de sus ejes son transversales a la transición energética: reconversión laboral (artículo 20), cierre de minas, distritos mineros para la diversificación productiva y la tensión entre nuevos mercados (gas vs. carbón térmico). </w:t>
      </w:r>
    </w:p>
    <w:p w14:paraId="1C4F8E5A" w14:textId="77777777" w:rsidR="00C50F13" w:rsidRPr="00985B97" w:rsidRDefault="00C50F13" w:rsidP="00985B97">
      <w:pPr>
        <w:pBdr>
          <w:top w:val="nil"/>
          <w:left w:val="nil"/>
          <w:bottom w:val="nil"/>
          <w:right w:val="nil"/>
          <w:between w:val="nil"/>
        </w:pBdr>
        <w:spacing w:before="240" w:after="0"/>
        <w:jc w:val="both"/>
        <w:rPr>
          <w:rFonts w:asciiTheme="majorHAnsi" w:hAnsiTheme="majorHAnsi" w:cstheme="majorHAnsi"/>
          <w:lang w:val="es-ES"/>
        </w:rPr>
      </w:pPr>
      <w:r w:rsidRPr="00985B97">
        <w:rPr>
          <w:rFonts w:asciiTheme="majorHAnsi" w:hAnsiTheme="majorHAnsi" w:cstheme="majorHAnsi"/>
          <w:lang w:val="es-ES"/>
        </w:rPr>
        <w:t>Si bien las preguntas sobre minería de carbón en Boyacá, Cundinamarca y Norte de Santander evidencian que la transición energética no puede tratarse solo como un cambio tecnológico, sino como un problema de justicia distributiva y territorial. El Congreso presiona para que el MME garantice vías de transición justa (reconversión productiva, mercados alternativos, compras estatales) antes de imponer restricciones. Además, aunque la expedición del Decreto 875 de 2025 (Sistema Nacional de Seguridad Minera) es un ejemplo de política que genera menos controversia, pero la discusión sobre el carbón sigue siendo el punto más álgido.</w:t>
      </w:r>
    </w:p>
    <w:p w14:paraId="3314E1F8" w14:textId="77777777" w:rsidR="00C50F13" w:rsidRPr="00985B97" w:rsidRDefault="00C50F13" w:rsidP="00985B97">
      <w:pPr>
        <w:jc w:val="both"/>
        <w:rPr>
          <w:rFonts w:asciiTheme="majorHAnsi" w:hAnsiTheme="majorHAnsi" w:cstheme="majorHAnsi"/>
        </w:rPr>
      </w:pPr>
      <w:r w:rsidRPr="00985B97">
        <w:rPr>
          <w:rFonts w:asciiTheme="majorHAnsi" w:hAnsiTheme="majorHAnsi" w:cstheme="majorHAnsi"/>
          <w:lang w:val="es-ES"/>
        </w:rPr>
        <w:t>La proposición no fue citada a debate de control político.</w:t>
      </w:r>
    </w:p>
    <w:p w14:paraId="432DC7AD" w14:textId="77777777" w:rsidR="00222BBC" w:rsidRPr="00985B97" w:rsidRDefault="00C50F13" w:rsidP="00985B97">
      <w:pPr>
        <w:pStyle w:val="Ttulo2"/>
        <w:rPr>
          <w:rFonts w:asciiTheme="majorHAnsi" w:hAnsiTheme="majorHAnsi" w:cstheme="majorHAnsi"/>
          <w:sz w:val="22"/>
          <w:szCs w:val="22"/>
        </w:rPr>
      </w:pPr>
      <w:bookmarkStart w:id="217" w:name="_Toc235092582"/>
      <w:bookmarkStart w:id="218" w:name="_Toc235108026"/>
      <w:bookmarkStart w:id="219" w:name="_Hlk228996089"/>
      <w:r w:rsidRPr="00985B97">
        <w:rPr>
          <w:rFonts w:asciiTheme="majorHAnsi" w:hAnsiTheme="majorHAnsi" w:cstheme="majorHAnsi"/>
          <w:sz w:val="22"/>
          <w:szCs w:val="22"/>
        </w:rPr>
        <w:t>2.2</w:t>
      </w:r>
      <w:r w:rsidR="00222BBC" w:rsidRPr="00985B97">
        <w:rPr>
          <w:rFonts w:asciiTheme="majorHAnsi" w:hAnsiTheme="majorHAnsi" w:cstheme="majorHAnsi"/>
          <w:sz w:val="22"/>
          <w:szCs w:val="22"/>
        </w:rPr>
        <w:t xml:space="preserve"> Proyectos de ley asociados a la Transición Energética Justa (2024-2026)</w:t>
      </w:r>
      <w:bookmarkEnd w:id="217"/>
      <w:bookmarkEnd w:id="218"/>
    </w:p>
    <w:bookmarkEnd w:id="219"/>
    <w:p w14:paraId="4E5216DB"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Se han identificado y analizado seis proyectos de ley estratégicos radicados entre 2024 y 2025 (aunque algunos reflejan debates iniciados en legislaturas anteriores), seleccionados por su relevancia temática y por la diversidad de su origen (parlamentario o gubernamental):Este apartado integra los elementos fundamentales para la comprensión del sector minero y la configuración del mismo a través de sus dimensiones generales, desde el plano territorial, social, ambiental y la gestión pública; pero también, </w:t>
      </w:r>
      <w:r w:rsidRPr="00985B97">
        <w:rPr>
          <w:rFonts w:asciiTheme="majorHAnsi" w:hAnsiTheme="majorHAnsi" w:cstheme="majorHAnsi"/>
        </w:rPr>
        <w:lastRenderedPageBreak/>
        <w:t xml:space="preserve">integra unas dimensiones particulares, que permiten una comprensión del sector en sus escenarios productivos, ecosistémicos, empresariales y normativos. </w:t>
      </w:r>
    </w:p>
    <w:p w14:paraId="3E43B5B0" w14:textId="77777777" w:rsidR="00222BBC" w:rsidRPr="00985B97" w:rsidRDefault="00C50F13" w:rsidP="00985B97">
      <w:pPr>
        <w:pStyle w:val="Ttulo3"/>
        <w:rPr>
          <w:rFonts w:asciiTheme="majorHAnsi" w:hAnsiTheme="majorHAnsi" w:cstheme="majorHAnsi"/>
          <w:sz w:val="22"/>
          <w:szCs w:val="22"/>
        </w:rPr>
      </w:pPr>
      <w:bookmarkStart w:id="220" w:name="_Toc235092583"/>
      <w:bookmarkStart w:id="221" w:name="_Toc235108027"/>
      <w:r w:rsidRPr="00985B97">
        <w:rPr>
          <w:rFonts w:asciiTheme="majorHAnsi" w:hAnsiTheme="majorHAnsi" w:cstheme="majorHAnsi"/>
          <w:sz w:val="22"/>
          <w:szCs w:val="22"/>
          <w:lang w:val="es-ES"/>
        </w:rPr>
        <w:t>2.2</w:t>
      </w:r>
      <w:r w:rsidR="00222BBC" w:rsidRPr="00985B97">
        <w:rPr>
          <w:rFonts w:asciiTheme="majorHAnsi" w:hAnsiTheme="majorHAnsi" w:cstheme="majorHAnsi"/>
          <w:sz w:val="22"/>
          <w:szCs w:val="22"/>
          <w:lang w:val="es-ES"/>
        </w:rPr>
        <w:t>.1 Proyecto de ley 134 de 2024 - Integración vertical</w:t>
      </w:r>
      <w:bookmarkEnd w:id="220"/>
      <w:bookmarkEnd w:id="221"/>
      <w:r w:rsidR="00222BBC" w:rsidRPr="00985B97">
        <w:rPr>
          <w:rFonts w:asciiTheme="majorHAnsi" w:hAnsiTheme="majorHAnsi" w:cstheme="majorHAnsi"/>
          <w:sz w:val="22"/>
          <w:szCs w:val="22"/>
        </w:rPr>
        <w:t> </w:t>
      </w:r>
    </w:p>
    <w:p w14:paraId="469DEA84"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Tema: Nuevos modelos de negocio para impulsar la transición energética</w:t>
      </w:r>
      <w:r w:rsidRPr="00985B97">
        <w:rPr>
          <w:rFonts w:asciiTheme="majorHAnsi" w:hAnsiTheme="majorHAnsi" w:cstheme="majorHAnsi"/>
        </w:rPr>
        <w:t> </w:t>
      </w:r>
    </w:p>
    <w:p w14:paraId="333AB208"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Objeto: Se propone que Ecopetrol se convierta en punta de lanza de la transición energética del país, que no solo produzca riqueza para la nación dependente de combustibles fósiles, sino que sea el vehículo de la inversión gubernamental en generación FNCER.</w:t>
      </w:r>
      <w:r w:rsidRPr="00985B97">
        <w:rPr>
          <w:rFonts w:asciiTheme="majorHAnsi" w:hAnsiTheme="majorHAnsi" w:cstheme="majorHAnsi"/>
        </w:rPr>
        <w:t> </w:t>
      </w:r>
    </w:p>
    <w:p w14:paraId="6DCC9BD8"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Fecha de radicación: </w:t>
      </w:r>
      <w:proofErr w:type="gramStart"/>
      <w:r w:rsidRPr="00985B97">
        <w:rPr>
          <w:rFonts w:asciiTheme="majorHAnsi" w:hAnsiTheme="majorHAnsi" w:cstheme="majorHAnsi"/>
          <w:lang w:val="es-ES"/>
        </w:rPr>
        <w:t>Agosto</w:t>
      </w:r>
      <w:proofErr w:type="gramEnd"/>
      <w:r w:rsidRPr="00985B97">
        <w:rPr>
          <w:rFonts w:asciiTheme="majorHAnsi" w:hAnsiTheme="majorHAnsi" w:cstheme="majorHAnsi"/>
          <w:lang w:val="es-ES"/>
        </w:rPr>
        <w:t> 15 de 2024</w:t>
      </w:r>
      <w:r w:rsidRPr="00985B97">
        <w:rPr>
          <w:rFonts w:asciiTheme="majorHAnsi" w:hAnsiTheme="majorHAnsi" w:cstheme="majorHAnsi"/>
        </w:rPr>
        <w:t> </w:t>
      </w:r>
    </w:p>
    <w:p w14:paraId="5D839D7C"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Comisión V de senado</w:t>
      </w:r>
      <w:r w:rsidRPr="00985B97">
        <w:rPr>
          <w:rFonts w:asciiTheme="majorHAnsi" w:hAnsiTheme="majorHAnsi" w:cstheme="majorHAnsi"/>
        </w:rPr>
        <w:t> </w:t>
      </w:r>
    </w:p>
    <w:p w14:paraId="1D3D8D2B"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Enlace </w:t>
      </w:r>
      <w:hyperlink r:id="rId91" w:tgtFrame="_blank" w:history="1">
        <w:r w:rsidRPr="00985B97">
          <w:rPr>
            <w:rStyle w:val="Hipervnculo"/>
            <w:rFonts w:asciiTheme="majorHAnsi" w:hAnsiTheme="majorHAnsi" w:cstheme="majorHAnsi"/>
            <w:lang w:val="es-ES"/>
          </w:rPr>
          <w:t>aquí</w:t>
        </w:r>
      </w:hyperlink>
      <w:r w:rsidRPr="00985B97">
        <w:rPr>
          <w:rFonts w:asciiTheme="majorHAnsi" w:hAnsiTheme="majorHAnsi" w:cstheme="majorHAnsi"/>
        </w:rPr>
        <w:t> </w:t>
      </w:r>
    </w:p>
    <w:p w14:paraId="5D5D6C68"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b/>
          <w:bCs/>
        </w:rPr>
      </w:pPr>
      <w:r w:rsidRPr="00985B97">
        <w:rPr>
          <w:rFonts w:asciiTheme="majorHAnsi" w:hAnsiTheme="majorHAnsi" w:cstheme="majorHAnsi"/>
          <w:b/>
          <w:bCs/>
          <w:lang w:val="es-ES"/>
        </w:rPr>
        <w:t>Análisis:</w:t>
      </w:r>
      <w:r w:rsidRPr="00985B97">
        <w:rPr>
          <w:rFonts w:asciiTheme="majorHAnsi" w:hAnsiTheme="majorHAnsi" w:cstheme="majorHAnsi"/>
          <w:b/>
          <w:bCs/>
        </w:rPr>
        <w:t> </w:t>
      </w:r>
    </w:p>
    <w:p w14:paraId="6414BE0D"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proyecto surge como una nueva versión del Proyecto de Ley 320 de 2023, el cual fue archivado por el Congreso, pero amplía su objeto al incluir gas e hidrógeno. La iniciativa fue radicada el 15 de agosto de 2024 por el Senador José David </w:t>
      </w:r>
      <w:proofErr w:type="spellStart"/>
      <w:r w:rsidRPr="00985B97">
        <w:rPr>
          <w:rFonts w:asciiTheme="majorHAnsi" w:hAnsiTheme="majorHAnsi" w:cstheme="majorHAnsi"/>
          <w:lang w:val="es-ES"/>
        </w:rPr>
        <w:t>Name</w:t>
      </w:r>
      <w:proofErr w:type="spellEnd"/>
      <w:r w:rsidRPr="00985B97">
        <w:rPr>
          <w:rFonts w:asciiTheme="majorHAnsi" w:hAnsiTheme="majorHAnsi" w:cstheme="majorHAnsi"/>
          <w:lang w:val="es-ES"/>
        </w:rPr>
        <w:t>, con el respaldo inicial del Gobierno Nacional (mensaje de urgencia en la legislatura pasada).</w:t>
      </w:r>
      <w:r w:rsidRPr="00985B97">
        <w:rPr>
          <w:rFonts w:asciiTheme="majorHAnsi" w:hAnsiTheme="majorHAnsi" w:cstheme="majorHAnsi"/>
        </w:rPr>
        <w:t> </w:t>
      </w:r>
    </w:p>
    <w:p w14:paraId="0ACBE49F"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proyecto permite que una empresa o un grupo empresarial realice actividades de generación (solo con fuentes no convencionales – FNCER) y transmisión de energía, un hecho que prohíbe el artículo 74 de la Ley 143 de 1994. Al mismo tiempo, mantiene la prohibición para generación con fuentes fósiles o hidroeléctrica convencional.</w:t>
      </w:r>
      <w:r w:rsidRPr="00985B97">
        <w:rPr>
          <w:rFonts w:asciiTheme="majorHAnsi" w:hAnsiTheme="majorHAnsi" w:cstheme="majorHAnsi"/>
        </w:rPr>
        <w:t> </w:t>
      </w:r>
    </w:p>
    <w:p w14:paraId="4B0E70D1"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 xml:space="preserve">El proyecto propone, entre otras cosas, que la empresa con más del 25% de la demanda del SIN no podrá cubrir más del 20% de su mercado regulado con energía propia o de filiales y ordena garantizar independencia del operador del sistema (XM) respecto de agentes verticalmente integrados. Ecopetrol (dueño del 51,4% de ISA) podría usar la red de transmisión para evacuar excedentes de sus proyectos </w:t>
      </w:r>
      <w:r w:rsidRPr="00985B97">
        <w:rPr>
          <w:rFonts w:asciiTheme="majorHAnsi" w:hAnsiTheme="majorHAnsi" w:cstheme="majorHAnsi"/>
          <w:lang w:val="es-ES"/>
        </w:rPr>
        <w:lastRenderedPageBreak/>
        <w:t>solares, eólicos e hidrógeno verde, que actualmente no es permitido. Adicionalmente, se acelera la descarbonización sin necesidad de nueva infraestructura de transmisión y se promueve el I+D+i en hidrógeno y captura de CO₂.</w:t>
      </w:r>
      <w:r w:rsidRPr="00985B97">
        <w:rPr>
          <w:rFonts w:asciiTheme="majorHAnsi" w:hAnsiTheme="majorHAnsi" w:cstheme="majorHAnsi"/>
        </w:rPr>
        <w:t> </w:t>
      </w:r>
    </w:p>
    <w:p w14:paraId="040ADF97"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La restricción a solo FNCER es correcta podría limitar la flexibilidad futura si se requieren respaldos con otras tecnologías bajas en emisiones (ej. hidrógeno fósil con captura). </w:t>
      </w:r>
      <w:r w:rsidRPr="00985B97">
        <w:rPr>
          <w:rFonts w:asciiTheme="majorHAnsi" w:hAnsiTheme="majorHAnsi" w:cstheme="majorHAnsi"/>
        </w:rPr>
        <w:t> </w:t>
      </w:r>
    </w:p>
    <w:p w14:paraId="30305948"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artículo 2 permite a empresas del sector de gas natural repotenciar o convertir oleoductos y otros activos de hidrocarburos para transportar gas natural, hidrógeno, energéticos renovables y sus mezclas. </w:t>
      </w:r>
      <w:r w:rsidRPr="00985B97">
        <w:rPr>
          <w:rFonts w:asciiTheme="majorHAnsi" w:hAnsiTheme="majorHAnsi" w:cstheme="majorHAnsi"/>
        </w:rPr>
        <w:t> </w:t>
      </w:r>
    </w:p>
    <w:p w14:paraId="49DDE630"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Si bien es importante para el país buscar ampliar la oferta de gas natural, de cara a una demanda creciente del 2% anual. No obstante, los descubrimientos offshore en el Caribe no tienen sistemas de evacuación, por lo que aprovechar la infraestructura existente (oleoductos sin uso o subutilizados) reduciría el impacto ambiental, aceleraría la entrada en operación y podría ayudar a evitar la construcción de nuevos gasoductos.</w:t>
      </w:r>
      <w:r w:rsidRPr="00985B97">
        <w:rPr>
          <w:rFonts w:asciiTheme="majorHAnsi" w:hAnsiTheme="majorHAnsi" w:cstheme="majorHAnsi"/>
        </w:rPr>
        <w:t> </w:t>
      </w:r>
    </w:p>
    <w:p w14:paraId="60D4A0C5"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Además de ello, el PL establece que quienes reconviertan infraestructura no podrán atender directamente demanda que ya sea atendida por distribuidores o comercializadores. Eso evita el </w:t>
      </w:r>
      <w:proofErr w:type="spellStart"/>
      <w:r w:rsidRPr="00985B97">
        <w:rPr>
          <w:rFonts w:asciiTheme="majorHAnsi" w:hAnsiTheme="majorHAnsi" w:cstheme="majorHAnsi"/>
          <w:lang w:val="es-ES"/>
        </w:rPr>
        <w:t>cherry-picking</w:t>
      </w:r>
      <w:proofErr w:type="spellEnd"/>
      <w:r w:rsidRPr="00985B97">
        <w:rPr>
          <w:rFonts w:asciiTheme="majorHAnsi" w:hAnsiTheme="majorHAnsi" w:cstheme="majorHAnsi"/>
          <w:lang w:val="es-ES"/>
        </w:rPr>
        <w:t> de grandes industriales, protegiendo el subsidio cruzado y la eficiencia del servicio domiciliario.</w:t>
      </w:r>
      <w:r w:rsidRPr="00985B97">
        <w:rPr>
          <w:rFonts w:asciiTheme="majorHAnsi" w:hAnsiTheme="majorHAnsi" w:cstheme="majorHAnsi"/>
        </w:rPr>
        <w:t> </w:t>
      </w:r>
    </w:p>
    <w:p w14:paraId="58287D88"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proyecto recoge planteamientos que el propio MME había sugerido en mesas técnicas durante la discusión del PL 320 de 2023.</w:t>
      </w:r>
      <w:r w:rsidRPr="00985B97">
        <w:rPr>
          <w:rFonts w:asciiTheme="majorHAnsi" w:hAnsiTheme="majorHAnsi" w:cstheme="majorHAnsi"/>
        </w:rPr>
        <w:t> </w:t>
      </w:r>
    </w:p>
    <w:p w14:paraId="2464ADB0"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Se incluyeron salvaguardas de competencia e independencia de XM que fueron solicitadas por la Superintendencia de Servicios Públicos y por la CREG.</w:t>
      </w:r>
      <w:r w:rsidRPr="00985B97">
        <w:rPr>
          <w:rFonts w:asciiTheme="majorHAnsi" w:hAnsiTheme="majorHAnsi" w:cstheme="majorHAnsi"/>
        </w:rPr>
        <w:t> </w:t>
      </w:r>
    </w:p>
    <w:p w14:paraId="45680643"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MME fue consultado informalmente antes de la radicación, y sus observaciones sobre plazos y límites de participación en el mercado fueron parcialmente acogidas.</w:t>
      </w:r>
      <w:r w:rsidRPr="00985B97">
        <w:rPr>
          <w:rFonts w:asciiTheme="majorHAnsi" w:hAnsiTheme="majorHAnsi" w:cstheme="majorHAnsi"/>
        </w:rPr>
        <w:t> </w:t>
      </w:r>
    </w:p>
    <w:p w14:paraId="42C52390"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 xml:space="preserve">No obstante, el Congreso impuso un plazo de 3 meses a la CREG para regular, sin evaluar la capacidad actual de la Comisión (que tiene otras funciones prioritarias como la regulación de tarifas de energía y gas), por lo que el MME consideró que el </w:t>
      </w:r>
      <w:r w:rsidR="001D4B0A" w:rsidRPr="00985B97">
        <w:rPr>
          <w:rFonts w:asciiTheme="majorHAnsi" w:hAnsiTheme="majorHAnsi" w:cstheme="majorHAnsi"/>
          <w:lang w:val="es-ES"/>
        </w:rPr>
        <w:t>legislativo</w:t>
      </w:r>
      <w:r w:rsidRPr="00985B97">
        <w:rPr>
          <w:rFonts w:asciiTheme="majorHAnsi" w:hAnsiTheme="majorHAnsi" w:cstheme="majorHAnsi"/>
          <w:lang w:val="es-ES"/>
        </w:rPr>
        <w:t xml:space="preserve"> no dimensionó la carga regulatoria real al plantear este periodo.</w:t>
      </w:r>
      <w:r w:rsidRPr="00985B97">
        <w:rPr>
          <w:rFonts w:asciiTheme="majorHAnsi" w:hAnsiTheme="majorHAnsi" w:cstheme="majorHAnsi"/>
        </w:rPr>
        <w:t> </w:t>
      </w:r>
    </w:p>
    <w:p w14:paraId="1FF22262"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lastRenderedPageBreak/>
        <w:t>El proyecto fue radicado sin que el Ministerio emitiera concepto oficial de impacto fiscal y técnico, lo cual afecta la coordinación entre el ejecutivo y el legislativo.</w:t>
      </w:r>
      <w:r w:rsidRPr="00985B97">
        <w:rPr>
          <w:rFonts w:asciiTheme="majorHAnsi" w:hAnsiTheme="majorHAnsi" w:cstheme="majorHAnsi"/>
        </w:rPr>
        <w:t> </w:t>
      </w:r>
    </w:p>
    <w:p w14:paraId="271DBFA0" w14:textId="77777777" w:rsidR="00222BBC" w:rsidRPr="00985B97" w:rsidRDefault="00C50F13" w:rsidP="00985B97">
      <w:pPr>
        <w:pStyle w:val="Ttulo3"/>
        <w:rPr>
          <w:rFonts w:asciiTheme="majorHAnsi" w:hAnsiTheme="majorHAnsi" w:cstheme="majorHAnsi"/>
          <w:sz w:val="22"/>
          <w:szCs w:val="22"/>
        </w:rPr>
      </w:pPr>
      <w:bookmarkStart w:id="222" w:name="_Toc235092584"/>
      <w:bookmarkStart w:id="223" w:name="_Toc235108028"/>
      <w:r w:rsidRPr="00985B97">
        <w:rPr>
          <w:rFonts w:asciiTheme="majorHAnsi" w:hAnsiTheme="majorHAnsi" w:cstheme="majorHAnsi"/>
          <w:sz w:val="22"/>
          <w:szCs w:val="22"/>
          <w:lang w:val="es-ES"/>
        </w:rPr>
        <w:t>2.2.2</w:t>
      </w:r>
      <w:r w:rsidR="00222BBC" w:rsidRPr="00985B97">
        <w:rPr>
          <w:rFonts w:asciiTheme="majorHAnsi" w:hAnsiTheme="majorHAnsi" w:cstheme="majorHAnsi"/>
          <w:sz w:val="22"/>
          <w:szCs w:val="22"/>
          <w:lang w:val="es-ES"/>
        </w:rPr>
        <w:t xml:space="preserve"> Proyecto de ley 224 de 2024 - Ley de economía azul y ecológica</w:t>
      </w:r>
      <w:bookmarkEnd w:id="222"/>
      <w:bookmarkEnd w:id="223"/>
      <w:r w:rsidR="00222BBC" w:rsidRPr="00985B97">
        <w:rPr>
          <w:rFonts w:asciiTheme="majorHAnsi" w:hAnsiTheme="majorHAnsi" w:cstheme="majorHAnsi"/>
          <w:sz w:val="22"/>
          <w:szCs w:val="22"/>
        </w:rPr>
        <w:t> </w:t>
      </w:r>
    </w:p>
    <w:p w14:paraId="3B4D358A"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Tema: Promover la economía azul y la economía ecológica en los ecosistemas hídricos.</w:t>
      </w:r>
      <w:r w:rsidRPr="00985B97">
        <w:rPr>
          <w:rFonts w:asciiTheme="majorHAnsi" w:hAnsiTheme="majorHAnsi" w:cstheme="majorHAnsi"/>
        </w:rPr>
        <w:t> </w:t>
      </w:r>
    </w:p>
    <w:p w14:paraId="1C0BD5DD"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Objeto: Establecer los lineamientos para la formulación de la política pública para el impulso y la promoción de la economía azul y la economía ecológica en los ecosistemas hídricos del país.</w:t>
      </w:r>
      <w:r w:rsidRPr="00985B97">
        <w:rPr>
          <w:rFonts w:asciiTheme="majorHAnsi" w:hAnsiTheme="majorHAnsi" w:cstheme="majorHAnsi"/>
        </w:rPr>
        <w:t> </w:t>
      </w:r>
    </w:p>
    <w:p w14:paraId="0D1833E3"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Autores: Senadores Laura Ester </w:t>
      </w:r>
      <w:proofErr w:type="spellStart"/>
      <w:r w:rsidRPr="00985B97">
        <w:rPr>
          <w:rFonts w:asciiTheme="majorHAnsi" w:hAnsiTheme="majorHAnsi" w:cstheme="majorHAnsi"/>
          <w:lang w:val="es-ES"/>
        </w:rPr>
        <w:t>Fortich</w:t>
      </w:r>
      <w:proofErr w:type="spellEnd"/>
      <w:r w:rsidRPr="00985B97">
        <w:rPr>
          <w:rFonts w:asciiTheme="majorHAnsi" w:hAnsiTheme="majorHAnsi" w:cstheme="majorHAnsi"/>
          <w:lang w:val="es-ES"/>
        </w:rPr>
        <w:t> Sánchez, Richard </w:t>
      </w:r>
      <w:proofErr w:type="spellStart"/>
      <w:r w:rsidRPr="00985B97">
        <w:rPr>
          <w:rFonts w:asciiTheme="majorHAnsi" w:hAnsiTheme="majorHAnsi" w:cstheme="majorHAnsi"/>
          <w:lang w:val="es-ES"/>
        </w:rPr>
        <w:t>Fuelantala</w:t>
      </w:r>
      <w:proofErr w:type="spellEnd"/>
      <w:r w:rsidRPr="00985B97">
        <w:rPr>
          <w:rFonts w:asciiTheme="majorHAnsi" w:hAnsiTheme="majorHAnsi" w:cstheme="majorHAnsi"/>
          <w:lang w:val="es-ES"/>
        </w:rPr>
        <w:t> Delgado, Carlos Julio González Villa, Soledad Tamayo </w:t>
      </w:r>
      <w:proofErr w:type="spellStart"/>
      <w:r w:rsidRPr="00985B97">
        <w:rPr>
          <w:rFonts w:asciiTheme="majorHAnsi" w:hAnsiTheme="majorHAnsi" w:cstheme="majorHAnsi"/>
          <w:lang w:val="es-ES"/>
        </w:rPr>
        <w:t>Tamayo</w:t>
      </w:r>
      <w:proofErr w:type="spellEnd"/>
      <w:r w:rsidRPr="00985B97">
        <w:rPr>
          <w:rFonts w:asciiTheme="majorHAnsi" w:hAnsiTheme="majorHAnsi" w:cstheme="majorHAnsi"/>
          <w:lang w:val="es-ES"/>
        </w:rPr>
        <w:t>, Paulino Riascos </w:t>
      </w:r>
      <w:proofErr w:type="spellStart"/>
      <w:r w:rsidRPr="00985B97">
        <w:rPr>
          <w:rFonts w:asciiTheme="majorHAnsi" w:hAnsiTheme="majorHAnsi" w:cstheme="majorHAnsi"/>
          <w:lang w:val="es-ES"/>
        </w:rPr>
        <w:t>Riascos</w:t>
      </w:r>
      <w:proofErr w:type="spellEnd"/>
      <w:r w:rsidRPr="00985B97">
        <w:rPr>
          <w:rFonts w:asciiTheme="majorHAnsi" w:hAnsiTheme="majorHAnsi" w:cstheme="majorHAnsi"/>
          <w:lang w:val="es-ES"/>
        </w:rPr>
        <w:t>, Ferney Silva Idrobo, Liliana Bitar Castilla, Didier Lobo Chinchilla, Edgar Díaz Contreras, Marcos Daniel Pineda, Lorena </w:t>
      </w:r>
      <w:proofErr w:type="spellStart"/>
      <w:r w:rsidRPr="00985B97">
        <w:rPr>
          <w:rFonts w:asciiTheme="majorHAnsi" w:hAnsiTheme="majorHAnsi" w:cstheme="majorHAnsi"/>
          <w:lang w:val="es-ES"/>
        </w:rPr>
        <w:t>Rios</w:t>
      </w:r>
      <w:proofErr w:type="spellEnd"/>
      <w:r w:rsidRPr="00985B97">
        <w:rPr>
          <w:rFonts w:asciiTheme="majorHAnsi" w:hAnsiTheme="majorHAnsi" w:cstheme="majorHAnsi"/>
          <w:lang w:val="es-ES"/>
        </w:rPr>
        <w:t> Cuellar, Claudia Pérez Giraldo, Karina Espinosa Oliver, Nicolas Echeverry </w:t>
      </w:r>
      <w:proofErr w:type="spellStart"/>
      <w:r w:rsidRPr="00985B97">
        <w:rPr>
          <w:rFonts w:asciiTheme="majorHAnsi" w:hAnsiTheme="majorHAnsi" w:cstheme="majorHAnsi"/>
          <w:lang w:val="es-ES"/>
        </w:rPr>
        <w:t>Alvarán</w:t>
      </w:r>
      <w:proofErr w:type="spellEnd"/>
      <w:r w:rsidRPr="00985B97">
        <w:rPr>
          <w:rFonts w:asciiTheme="majorHAnsi" w:hAnsiTheme="majorHAnsi" w:cstheme="majorHAnsi"/>
          <w:lang w:val="es-ES"/>
        </w:rPr>
        <w:t> y Representante Ruth Caicedo De Enríquez.</w:t>
      </w:r>
      <w:r w:rsidRPr="00985B97">
        <w:rPr>
          <w:rFonts w:asciiTheme="majorHAnsi" w:hAnsiTheme="majorHAnsi" w:cstheme="majorHAnsi"/>
        </w:rPr>
        <w:t> </w:t>
      </w:r>
    </w:p>
    <w:p w14:paraId="748B5292"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Comisión V de Senado</w:t>
      </w:r>
      <w:r w:rsidRPr="00985B97">
        <w:rPr>
          <w:rFonts w:asciiTheme="majorHAnsi" w:hAnsiTheme="majorHAnsi" w:cstheme="majorHAnsi"/>
        </w:rPr>
        <w:t> </w:t>
      </w:r>
    </w:p>
    <w:p w14:paraId="1FEB9357"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Fecha de radicación: 04 de septiembre de 2024</w:t>
      </w:r>
      <w:r w:rsidRPr="00985B97">
        <w:rPr>
          <w:rFonts w:asciiTheme="majorHAnsi" w:hAnsiTheme="majorHAnsi" w:cstheme="majorHAnsi"/>
        </w:rPr>
        <w:t> </w:t>
      </w:r>
    </w:p>
    <w:p w14:paraId="2B804474"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Enlace </w:t>
      </w:r>
      <w:hyperlink r:id="rId92" w:tgtFrame="_blank" w:history="1">
        <w:r w:rsidRPr="00985B97">
          <w:rPr>
            <w:rStyle w:val="Hipervnculo"/>
            <w:rFonts w:asciiTheme="majorHAnsi" w:hAnsiTheme="majorHAnsi" w:cstheme="majorHAnsi"/>
            <w:lang w:val="es-ES"/>
          </w:rPr>
          <w:t>aquí</w:t>
        </w:r>
      </w:hyperlink>
      <w:r w:rsidRPr="00985B97">
        <w:rPr>
          <w:rFonts w:asciiTheme="majorHAnsi" w:hAnsiTheme="majorHAnsi" w:cstheme="majorHAnsi"/>
        </w:rPr>
        <w:t> </w:t>
      </w:r>
    </w:p>
    <w:p w14:paraId="72CED36E"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b/>
          <w:bCs/>
        </w:rPr>
      </w:pPr>
      <w:r w:rsidRPr="00985B97">
        <w:rPr>
          <w:rFonts w:asciiTheme="majorHAnsi" w:hAnsiTheme="majorHAnsi" w:cstheme="majorHAnsi"/>
          <w:b/>
          <w:bCs/>
          <w:lang w:val="es-ES"/>
        </w:rPr>
        <w:t>Análisis:</w:t>
      </w:r>
      <w:r w:rsidRPr="00985B97">
        <w:rPr>
          <w:rFonts w:asciiTheme="majorHAnsi" w:hAnsiTheme="majorHAnsi" w:cstheme="majorHAnsi"/>
          <w:b/>
          <w:bCs/>
        </w:rPr>
        <w:t> </w:t>
      </w:r>
    </w:p>
    <w:p w14:paraId="03921322"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Este proyecto de ley ordena al Gobierno Nacional diseñar e implementar políticas, planes, programas, proyectos e inversiones en un plazo de un año, con un horizonte estratégico de diez años para ciertos sectores, con base en la Constitución Ecológica, el Plan Nacional de Desarrollo 2022-2026, la Agenda 2030 y los Objetivos de Desarrollo Sostenible (especialmente ODS 14: Vida submarina, y ODS 6: Agua limpia y saneamiento).</w:t>
      </w:r>
      <w:r w:rsidRPr="00985B97">
        <w:rPr>
          <w:rFonts w:asciiTheme="majorHAnsi" w:hAnsiTheme="majorHAnsi" w:cstheme="majorHAnsi"/>
        </w:rPr>
        <w:t> </w:t>
      </w:r>
    </w:p>
    <w:p w14:paraId="15F4AFAF"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MME tiene un papel relevante en este proyecto, especialmente en lo relacionado con generación de energía renovable en ecosistemas marinos y acuáticos y, de manera transversal, en aspectos de transición energética, eficiencia, infraestructura y acceso a energía.</w:t>
      </w:r>
      <w:r w:rsidRPr="00985B97">
        <w:rPr>
          <w:rFonts w:asciiTheme="majorHAnsi" w:hAnsiTheme="majorHAnsi" w:cstheme="majorHAnsi"/>
        </w:rPr>
        <w:t> </w:t>
      </w:r>
    </w:p>
    <w:p w14:paraId="6704861E"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lastRenderedPageBreak/>
        <w:t>La economía ecológica en ecosistemas de agua dulce tiene menos vínculo directo con el MME, salvo en lo relativo a pequeñas centrales hidroeléctricas, energía solar flotante en embalses y eficiencia energética en sistemas de bombeo y tratamiento de agua. </w:t>
      </w:r>
      <w:r w:rsidRPr="00985B97">
        <w:rPr>
          <w:rFonts w:asciiTheme="majorHAnsi" w:hAnsiTheme="majorHAnsi" w:cstheme="majorHAnsi"/>
        </w:rPr>
        <w:t> </w:t>
      </w:r>
    </w:p>
    <w:p w14:paraId="339A19EC"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Se ordena al MME, con apoyo de </w:t>
      </w:r>
      <w:proofErr w:type="spellStart"/>
      <w:r w:rsidRPr="00985B97">
        <w:rPr>
          <w:rFonts w:asciiTheme="majorHAnsi" w:hAnsiTheme="majorHAnsi" w:cstheme="majorHAnsi"/>
          <w:lang w:val="es-ES"/>
        </w:rPr>
        <w:t>MinAmbiente</w:t>
      </w:r>
      <w:proofErr w:type="spellEnd"/>
      <w:r w:rsidRPr="00985B97">
        <w:rPr>
          <w:rFonts w:asciiTheme="majorHAnsi" w:hAnsiTheme="majorHAnsi" w:cstheme="majorHAnsi"/>
          <w:lang w:val="es-ES"/>
        </w:rPr>
        <w:t>, promover, incentivar y desarrollar proyectos de energía sostenible en ecosistemas marinos, incluyendo energía undimotriz (olas), mareomotriz (mareas), térmica, osmótica, eólica offshore, de corrientes y demás mecanismos de generación de energías de fuentes acuáticas. También incluye apoyo a comunidades con sistemas de producción renovable.</w:t>
      </w:r>
      <w:r w:rsidRPr="00985B97">
        <w:rPr>
          <w:rFonts w:asciiTheme="majorHAnsi" w:hAnsiTheme="majorHAnsi" w:cstheme="majorHAnsi"/>
        </w:rPr>
        <w:t> </w:t>
      </w:r>
    </w:p>
    <w:p w14:paraId="39E1313A"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La exposición de motivos cita un potencial de hasta 50 GW de eólica offshore y estudios de la Universidad Nacional y DIMAR en energías marinas. Sin embargo, el MME advierte que los costos de estas tecnologías aún son altos y que su viabilidad comercial en Colombia tomará al menos una década. El proyecto es prospectivo, pero no debe generar expectativas de corto plazo.</w:t>
      </w:r>
      <w:r w:rsidRPr="00985B97">
        <w:rPr>
          <w:rFonts w:asciiTheme="majorHAnsi" w:hAnsiTheme="majorHAnsi" w:cstheme="majorHAnsi"/>
        </w:rPr>
        <w:t> </w:t>
      </w:r>
    </w:p>
    <w:p w14:paraId="0F2A4448"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Congreso incluyó al MME en dos artículos estratégicos (4, 11 y especialmente 28), valorando su competencia en energías renovables marinas. Esto demuestra confianza en la capacidad técnica del Ministerio.</w:t>
      </w:r>
      <w:r w:rsidRPr="00985B97">
        <w:rPr>
          <w:rFonts w:asciiTheme="majorHAnsi" w:hAnsiTheme="majorHAnsi" w:cstheme="majorHAnsi"/>
        </w:rPr>
        <w:t> </w:t>
      </w:r>
    </w:p>
    <w:p w14:paraId="638A3933"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La iniciativa no modifica ni deroga leyes sectoriales del MME (como la 1715 de 2014 o la 2099 de 2021), sino que las complementa y remite a sus beneficios.</w:t>
      </w:r>
      <w:r w:rsidRPr="00985B97">
        <w:rPr>
          <w:rFonts w:asciiTheme="majorHAnsi" w:hAnsiTheme="majorHAnsi" w:cstheme="majorHAnsi"/>
        </w:rPr>
        <w:t> </w:t>
      </w:r>
    </w:p>
    <w:p w14:paraId="48C13876" w14:textId="77777777" w:rsidR="00222BBC" w:rsidRPr="00985B97" w:rsidRDefault="00C50F13" w:rsidP="00985B97">
      <w:pPr>
        <w:pStyle w:val="Ttulo3"/>
        <w:rPr>
          <w:rFonts w:asciiTheme="majorHAnsi" w:hAnsiTheme="majorHAnsi" w:cstheme="majorHAnsi"/>
          <w:sz w:val="22"/>
          <w:szCs w:val="22"/>
        </w:rPr>
      </w:pPr>
      <w:bookmarkStart w:id="224" w:name="_Toc235092585"/>
      <w:bookmarkStart w:id="225" w:name="_Toc235108029"/>
      <w:r w:rsidRPr="00985B97">
        <w:rPr>
          <w:rFonts w:asciiTheme="majorHAnsi" w:hAnsiTheme="majorHAnsi" w:cstheme="majorHAnsi"/>
          <w:sz w:val="22"/>
          <w:szCs w:val="22"/>
          <w:lang w:val="es-ES"/>
        </w:rPr>
        <w:t>2.2.</w:t>
      </w:r>
      <w:r w:rsidR="00222BBC" w:rsidRPr="00985B97">
        <w:rPr>
          <w:rFonts w:asciiTheme="majorHAnsi" w:hAnsiTheme="majorHAnsi" w:cstheme="majorHAnsi"/>
          <w:sz w:val="22"/>
          <w:szCs w:val="22"/>
          <w:lang w:val="es-ES"/>
        </w:rPr>
        <w:t>3 Proyecto de ley 273 de 2025 - Comunidades energéticas</w:t>
      </w:r>
      <w:bookmarkEnd w:id="224"/>
      <w:bookmarkEnd w:id="225"/>
      <w:r w:rsidR="00222BBC" w:rsidRPr="00985B97">
        <w:rPr>
          <w:rFonts w:asciiTheme="majorHAnsi" w:hAnsiTheme="majorHAnsi" w:cstheme="majorHAnsi"/>
          <w:sz w:val="22"/>
          <w:szCs w:val="22"/>
        </w:rPr>
        <w:t> </w:t>
      </w:r>
    </w:p>
    <w:p w14:paraId="379FE607"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Tema: Promoción de la generación de energía solar en esquemas de asistencia estatal, balance neto y comunidades energéticas.</w:t>
      </w:r>
      <w:r w:rsidRPr="00985B97">
        <w:rPr>
          <w:rFonts w:asciiTheme="majorHAnsi" w:hAnsiTheme="majorHAnsi" w:cstheme="majorHAnsi"/>
        </w:rPr>
        <w:t> </w:t>
      </w:r>
    </w:p>
    <w:p w14:paraId="0C48683F"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 xml:space="preserve">Objeto: La norma crea un marco legal y técnico para fomentar la generación distribuida de energía solar en Colombia, priorizando a personas naturales, micronegocios y comunidades vulnerables. Establece mecanismos como conexión asistida, balance neto, incentivos tributarios, cofinanciación pública y comunidades energéticas simplificadas, asegurando una integración ordenada al Sistema Interconectado Nacional (SIN) y alineada con la transición energética, la sostenibilidad y la equidad territorial. También </w:t>
      </w:r>
      <w:r w:rsidRPr="00985B97">
        <w:rPr>
          <w:rFonts w:asciiTheme="majorHAnsi" w:hAnsiTheme="majorHAnsi" w:cstheme="majorHAnsi"/>
          <w:lang w:val="es-ES"/>
        </w:rPr>
        <w:lastRenderedPageBreak/>
        <w:t>define conceptos clave como </w:t>
      </w:r>
      <w:proofErr w:type="spellStart"/>
      <w:r w:rsidRPr="00985B97">
        <w:rPr>
          <w:rFonts w:asciiTheme="majorHAnsi" w:hAnsiTheme="majorHAnsi" w:cstheme="majorHAnsi"/>
          <w:lang w:val="es-ES"/>
        </w:rPr>
        <w:t>Autogenerador</w:t>
      </w:r>
      <w:proofErr w:type="spellEnd"/>
      <w:r w:rsidRPr="00985B97">
        <w:rPr>
          <w:rFonts w:asciiTheme="majorHAnsi" w:hAnsiTheme="majorHAnsi" w:cstheme="majorHAnsi"/>
          <w:lang w:val="es-ES"/>
        </w:rPr>
        <w:t> a Pequeña Escala (AGPE), Sistema Fotovoltaico Interconectado (SFVI) y micronegocio, delimitando con precisión los actores y tecnologías que cubre.</w:t>
      </w:r>
      <w:r w:rsidRPr="00985B97">
        <w:rPr>
          <w:rFonts w:asciiTheme="majorHAnsi" w:hAnsiTheme="majorHAnsi" w:cstheme="majorHAnsi"/>
        </w:rPr>
        <w:t> </w:t>
      </w:r>
    </w:p>
    <w:p w14:paraId="50D3FA39"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Autores: Senadores Ana Paola Agudelo, Carlos Eduardo Guevara, Irma Luz Herrera y Manuel Virgüez.</w:t>
      </w:r>
      <w:r w:rsidRPr="00985B97">
        <w:rPr>
          <w:rFonts w:asciiTheme="majorHAnsi" w:hAnsiTheme="majorHAnsi" w:cstheme="majorHAnsi"/>
        </w:rPr>
        <w:t> </w:t>
      </w:r>
    </w:p>
    <w:p w14:paraId="6F334587"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Comisión V de Senado</w:t>
      </w:r>
      <w:r w:rsidRPr="00985B97">
        <w:rPr>
          <w:rFonts w:asciiTheme="majorHAnsi" w:hAnsiTheme="majorHAnsi" w:cstheme="majorHAnsi"/>
        </w:rPr>
        <w:t> </w:t>
      </w:r>
    </w:p>
    <w:p w14:paraId="1CFF50AB"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Fecha de radicación: 17 de septiembre de 2025</w:t>
      </w:r>
      <w:r w:rsidRPr="00985B97">
        <w:rPr>
          <w:rFonts w:asciiTheme="majorHAnsi" w:hAnsiTheme="majorHAnsi" w:cstheme="majorHAnsi"/>
        </w:rPr>
        <w:t> </w:t>
      </w:r>
    </w:p>
    <w:p w14:paraId="09C67715"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Enlace </w:t>
      </w:r>
      <w:hyperlink r:id="rId93" w:tgtFrame="_blank" w:history="1">
        <w:r w:rsidRPr="00985B97">
          <w:rPr>
            <w:rStyle w:val="Hipervnculo"/>
            <w:rFonts w:asciiTheme="majorHAnsi" w:hAnsiTheme="majorHAnsi" w:cstheme="majorHAnsi"/>
            <w:lang w:val="es-ES"/>
          </w:rPr>
          <w:t>aquí</w:t>
        </w:r>
      </w:hyperlink>
      <w:r w:rsidRPr="00985B97">
        <w:rPr>
          <w:rFonts w:asciiTheme="majorHAnsi" w:hAnsiTheme="majorHAnsi" w:cstheme="majorHAnsi"/>
        </w:rPr>
        <w:t> </w:t>
      </w:r>
    </w:p>
    <w:p w14:paraId="1DD314A2"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b/>
          <w:bCs/>
        </w:rPr>
      </w:pPr>
      <w:r w:rsidRPr="00985B97">
        <w:rPr>
          <w:rFonts w:asciiTheme="majorHAnsi" w:hAnsiTheme="majorHAnsi" w:cstheme="majorHAnsi"/>
          <w:b/>
          <w:bCs/>
          <w:lang w:val="es-ES"/>
        </w:rPr>
        <w:t>Análisis:</w:t>
      </w:r>
      <w:r w:rsidRPr="00985B97">
        <w:rPr>
          <w:rFonts w:asciiTheme="majorHAnsi" w:hAnsiTheme="majorHAnsi" w:cstheme="majorHAnsi"/>
          <w:b/>
          <w:bCs/>
        </w:rPr>
        <w:t> </w:t>
      </w:r>
    </w:p>
    <w:p w14:paraId="45CB4093"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proyecto se basa principalmente en el crecimiento acelerado de la energía solar en Colombia (1.625 MW instalados en 2024), e identifica cuellos de botella normativos y operativos que frenan el acceso de hogares y pequeños negocios a la autogeneración.</w:t>
      </w:r>
      <w:r w:rsidRPr="00985B97">
        <w:rPr>
          <w:rFonts w:asciiTheme="majorHAnsi" w:hAnsiTheme="majorHAnsi" w:cstheme="majorHAnsi"/>
        </w:rPr>
        <w:t> </w:t>
      </w:r>
    </w:p>
    <w:p w14:paraId="21792A4F"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MME es la entidad central para la implementación de este proyecto, especialmente en lo relacionado con regulación, cofinanciación, supervisión técnica y articulación con la CREG y la UPME.</w:t>
      </w:r>
      <w:r w:rsidRPr="00985B97">
        <w:rPr>
          <w:rFonts w:asciiTheme="majorHAnsi" w:hAnsiTheme="majorHAnsi" w:cstheme="majorHAnsi"/>
        </w:rPr>
        <w:t> </w:t>
      </w:r>
    </w:p>
    <w:p w14:paraId="4058E98C"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marco integral para la generación solar distribuida propuesto está en armonía con las políticas de transición energética justa del Gobierno Nacional.</w:t>
      </w:r>
      <w:r w:rsidRPr="00985B97">
        <w:rPr>
          <w:rFonts w:asciiTheme="majorHAnsi" w:hAnsiTheme="majorHAnsi" w:cstheme="majorHAnsi"/>
        </w:rPr>
        <w:t> </w:t>
      </w:r>
    </w:p>
    <w:p w14:paraId="2E047953"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La propuesta define conceptos como </w:t>
      </w:r>
      <w:proofErr w:type="spellStart"/>
      <w:r w:rsidRPr="00985B97">
        <w:rPr>
          <w:rFonts w:asciiTheme="majorHAnsi" w:hAnsiTheme="majorHAnsi" w:cstheme="majorHAnsi"/>
          <w:lang w:val="es-ES"/>
        </w:rPr>
        <w:t>Autogenerador</w:t>
      </w:r>
      <w:proofErr w:type="spellEnd"/>
      <w:r w:rsidRPr="00985B97">
        <w:rPr>
          <w:rFonts w:asciiTheme="majorHAnsi" w:hAnsiTheme="majorHAnsi" w:cstheme="majorHAnsi"/>
          <w:lang w:val="es-ES"/>
        </w:rPr>
        <w:t> a Pequeña Escala (AGPE) hasta 100 kW, micronegocio, comunidad energética simplificada (hasta 200 kW sin ser comercializador). Adicionalmente, establece un proceso simplificado con diagnóstico técnico gratuito para estratos 1 a 3, cofinanciación diferenciada por estrato (70%, 50%, 30%), y plazos máximos para viabilidad (9 días hábiles) e instalación de medidor (10 días adicionales). No obstante, la ventanilla única propuesta debería integrar a UPME, CREG, OR y Ministerios.</w:t>
      </w:r>
      <w:r w:rsidRPr="00985B97">
        <w:rPr>
          <w:rFonts w:asciiTheme="majorHAnsi" w:hAnsiTheme="majorHAnsi" w:cstheme="majorHAnsi"/>
        </w:rPr>
        <w:t> </w:t>
      </w:r>
    </w:p>
    <w:p w14:paraId="7CAF3A58"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articulado crea un programa en el MME para financiar hasta el 70% de sistemas fotovoltaicos para estratos 1,2,3 y microempresas.</w:t>
      </w:r>
      <w:r w:rsidRPr="00985B97">
        <w:rPr>
          <w:rFonts w:asciiTheme="majorHAnsi" w:hAnsiTheme="majorHAnsi" w:cstheme="majorHAnsi"/>
        </w:rPr>
        <w:t> </w:t>
      </w:r>
    </w:p>
    <w:p w14:paraId="695E2FF6"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lastRenderedPageBreak/>
        <w:t xml:space="preserve">El PL 273 de 2025 es una iniciativa parlamentaria autónoma del Partido MIRA, que no surge del </w:t>
      </w:r>
      <w:r w:rsidR="001D4B0A" w:rsidRPr="00985B97">
        <w:rPr>
          <w:rFonts w:asciiTheme="majorHAnsi" w:hAnsiTheme="majorHAnsi" w:cstheme="majorHAnsi"/>
          <w:lang w:val="es-ES"/>
        </w:rPr>
        <w:t>ejecutivo</w:t>
      </w:r>
      <w:r w:rsidRPr="00985B97">
        <w:rPr>
          <w:rFonts w:asciiTheme="majorHAnsi" w:hAnsiTheme="majorHAnsi" w:cstheme="majorHAnsi"/>
          <w:lang w:val="es-ES"/>
        </w:rPr>
        <w:t>. Sin embargo, aborda un tema central de la agenda del MME (generación solar distribuida). La relación puede calificarse como de cooperación </w:t>
      </w:r>
      <w:proofErr w:type="gramStart"/>
      <w:r w:rsidRPr="00985B97">
        <w:rPr>
          <w:rFonts w:asciiTheme="majorHAnsi" w:hAnsiTheme="majorHAnsi" w:cstheme="majorHAnsi"/>
          <w:lang w:val="es-ES"/>
        </w:rPr>
        <w:t>técnica</w:t>
      </w:r>
      <w:proofErr w:type="gramEnd"/>
      <w:r w:rsidRPr="00985B97">
        <w:rPr>
          <w:rFonts w:asciiTheme="majorHAnsi" w:hAnsiTheme="majorHAnsi" w:cstheme="majorHAnsi"/>
          <w:lang w:val="es-ES"/>
        </w:rPr>
        <w:t> pero con tensiones sobre tiempos y recursos fiscales.</w:t>
      </w:r>
      <w:r w:rsidRPr="00985B97">
        <w:rPr>
          <w:rFonts w:asciiTheme="majorHAnsi" w:hAnsiTheme="majorHAnsi" w:cstheme="majorHAnsi"/>
        </w:rPr>
        <w:t> </w:t>
      </w:r>
    </w:p>
    <w:p w14:paraId="5D62E315"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proyecto asigna al MME un rol protagónico en el Programa Nacional de Cofinanciación Solar y en la reglamentación.</w:t>
      </w:r>
      <w:r w:rsidRPr="00985B97">
        <w:rPr>
          <w:rFonts w:asciiTheme="majorHAnsi" w:hAnsiTheme="majorHAnsi" w:cstheme="majorHAnsi"/>
        </w:rPr>
        <w:t> </w:t>
      </w:r>
    </w:p>
    <w:p w14:paraId="35AE79FE"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No obstante, se hace necesario que antes de su discusión en plenaria, se realicen mesas de trabajo con el Ministerio de Hacienda y el DNP para cuantificar el impacto fiscal y definir fuentes de financiación (FENOGE, cooperación, presupuesto nacional), y reemplazar la exención de impuesto predial por una deducción en el impuesto de renta municipal o por un incentivo no territorial.</w:t>
      </w:r>
      <w:r w:rsidRPr="00985B97">
        <w:rPr>
          <w:rFonts w:asciiTheme="majorHAnsi" w:hAnsiTheme="majorHAnsi" w:cstheme="majorHAnsi"/>
        </w:rPr>
        <w:t> </w:t>
      </w:r>
    </w:p>
    <w:p w14:paraId="018AC531" w14:textId="77777777" w:rsidR="00222BBC" w:rsidRPr="00985B97" w:rsidRDefault="00C50F13" w:rsidP="00985B97">
      <w:pPr>
        <w:pStyle w:val="Ttulo3"/>
        <w:rPr>
          <w:rFonts w:asciiTheme="majorHAnsi" w:hAnsiTheme="majorHAnsi" w:cstheme="majorHAnsi"/>
          <w:sz w:val="22"/>
          <w:szCs w:val="22"/>
        </w:rPr>
      </w:pPr>
      <w:bookmarkStart w:id="226" w:name="_Toc235092586"/>
      <w:bookmarkStart w:id="227" w:name="_Toc235108030"/>
      <w:r w:rsidRPr="00985B97">
        <w:rPr>
          <w:rFonts w:asciiTheme="majorHAnsi" w:hAnsiTheme="majorHAnsi" w:cstheme="majorHAnsi"/>
          <w:sz w:val="22"/>
          <w:szCs w:val="22"/>
          <w:lang w:val="es-ES"/>
        </w:rPr>
        <w:t>2.2.</w:t>
      </w:r>
      <w:r w:rsidR="00222BBC" w:rsidRPr="00985B97">
        <w:rPr>
          <w:rFonts w:asciiTheme="majorHAnsi" w:hAnsiTheme="majorHAnsi" w:cstheme="majorHAnsi"/>
          <w:sz w:val="22"/>
          <w:szCs w:val="22"/>
          <w:lang w:val="es-ES"/>
        </w:rPr>
        <w:t>4 Proyecto de ley 176 de 2025 – BIOGAS</w:t>
      </w:r>
      <w:bookmarkEnd w:id="226"/>
      <w:bookmarkEnd w:id="227"/>
      <w:r w:rsidR="00222BBC" w:rsidRPr="00985B97">
        <w:rPr>
          <w:rFonts w:asciiTheme="majorHAnsi" w:hAnsiTheme="majorHAnsi" w:cstheme="majorHAnsi"/>
          <w:sz w:val="22"/>
          <w:szCs w:val="22"/>
        </w:rPr>
        <w:t> </w:t>
      </w:r>
    </w:p>
    <w:p w14:paraId="43BB99F4"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Tema: Política pública nacional de descarbonización con biogás y biometano.</w:t>
      </w:r>
      <w:r w:rsidRPr="00985B97">
        <w:rPr>
          <w:rFonts w:asciiTheme="majorHAnsi" w:hAnsiTheme="majorHAnsi" w:cstheme="majorHAnsi"/>
        </w:rPr>
        <w:t> </w:t>
      </w:r>
    </w:p>
    <w:p w14:paraId="0F0E057A"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Objeto: Establece un marco normativo integral para la gestión de residuos sólidos en Colombia, promoviendo la producción y el consumo responsables, y consolidando la transición hacia una economía circular. Sus pilares fundamentales son:</w:t>
      </w:r>
      <w:r w:rsidRPr="00985B97">
        <w:rPr>
          <w:rFonts w:asciiTheme="majorHAnsi" w:hAnsiTheme="majorHAnsi" w:cstheme="majorHAnsi"/>
        </w:rPr>
        <w:t> </w:t>
      </w:r>
    </w:p>
    <w:p w14:paraId="27F4E47A"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Autor: Senador José David </w:t>
      </w:r>
      <w:proofErr w:type="spellStart"/>
      <w:r w:rsidRPr="00985B97">
        <w:rPr>
          <w:rFonts w:asciiTheme="majorHAnsi" w:hAnsiTheme="majorHAnsi" w:cstheme="majorHAnsi"/>
          <w:lang w:val="es-ES"/>
        </w:rPr>
        <w:t>Name</w:t>
      </w:r>
      <w:proofErr w:type="spellEnd"/>
      <w:r w:rsidRPr="00985B97">
        <w:rPr>
          <w:rFonts w:asciiTheme="majorHAnsi" w:hAnsiTheme="majorHAnsi" w:cstheme="majorHAnsi"/>
        </w:rPr>
        <w:t> </w:t>
      </w:r>
    </w:p>
    <w:p w14:paraId="78EDD6E9"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Comisión V de Senado</w:t>
      </w:r>
      <w:r w:rsidRPr="00985B97">
        <w:rPr>
          <w:rFonts w:asciiTheme="majorHAnsi" w:hAnsiTheme="majorHAnsi" w:cstheme="majorHAnsi"/>
        </w:rPr>
        <w:t> </w:t>
      </w:r>
    </w:p>
    <w:p w14:paraId="575AAA7F"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Fecha de radicación: 14 de agosto de 2025</w:t>
      </w:r>
      <w:r w:rsidRPr="00985B97">
        <w:rPr>
          <w:rFonts w:asciiTheme="majorHAnsi" w:hAnsiTheme="majorHAnsi" w:cstheme="majorHAnsi"/>
        </w:rPr>
        <w:t> </w:t>
      </w:r>
    </w:p>
    <w:p w14:paraId="4C4B9BBC"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Enlace </w:t>
      </w:r>
      <w:hyperlink r:id="rId94" w:tgtFrame="_blank" w:history="1">
        <w:r w:rsidRPr="00985B97">
          <w:rPr>
            <w:rStyle w:val="Hipervnculo"/>
            <w:rFonts w:asciiTheme="majorHAnsi" w:hAnsiTheme="majorHAnsi" w:cstheme="majorHAnsi"/>
            <w:lang w:val="es-ES"/>
          </w:rPr>
          <w:t>aquí</w:t>
        </w:r>
      </w:hyperlink>
      <w:r w:rsidRPr="00985B97">
        <w:rPr>
          <w:rFonts w:asciiTheme="majorHAnsi" w:hAnsiTheme="majorHAnsi" w:cstheme="majorHAnsi"/>
        </w:rPr>
        <w:t> </w:t>
      </w:r>
    </w:p>
    <w:p w14:paraId="0BA24DB9"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b/>
          <w:bCs/>
        </w:rPr>
      </w:pPr>
      <w:r w:rsidRPr="00985B97">
        <w:rPr>
          <w:rFonts w:asciiTheme="majorHAnsi" w:hAnsiTheme="majorHAnsi" w:cstheme="majorHAnsi"/>
          <w:b/>
          <w:bCs/>
          <w:lang w:val="es-ES"/>
        </w:rPr>
        <w:t>Análisis:</w:t>
      </w:r>
      <w:r w:rsidRPr="00985B97">
        <w:rPr>
          <w:rFonts w:asciiTheme="majorHAnsi" w:hAnsiTheme="majorHAnsi" w:cstheme="majorHAnsi"/>
          <w:b/>
          <w:bCs/>
        </w:rPr>
        <w:t> </w:t>
      </w:r>
    </w:p>
    <w:p w14:paraId="6C8C5E30"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proyecto se fundamenta en: (i) los compromisos internacionales de descarbonización (NDC de Colombia: reducción del 51% de GEI para 2030 y carbono neutralidad en 2050); (</w:t>
      </w:r>
      <w:proofErr w:type="spellStart"/>
      <w:r w:rsidRPr="00985B97">
        <w:rPr>
          <w:rFonts w:asciiTheme="majorHAnsi" w:hAnsiTheme="majorHAnsi" w:cstheme="majorHAnsi"/>
          <w:lang w:val="es-ES"/>
        </w:rPr>
        <w:t>ii</w:t>
      </w:r>
      <w:proofErr w:type="spellEnd"/>
      <w:r w:rsidRPr="00985B97">
        <w:rPr>
          <w:rFonts w:asciiTheme="majorHAnsi" w:hAnsiTheme="majorHAnsi" w:cstheme="majorHAnsi"/>
          <w:lang w:val="es-ES"/>
        </w:rPr>
        <w:t>) el nivel deficitario de gas natural en firme (según la Bolsa Mercantil de Colombia, para 2026 hay un faltante de 205.727 MBTUD); (</w:t>
      </w:r>
      <w:proofErr w:type="spellStart"/>
      <w:r w:rsidRPr="00985B97">
        <w:rPr>
          <w:rFonts w:asciiTheme="majorHAnsi" w:hAnsiTheme="majorHAnsi" w:cstheme="majorHAnsi"/>
          <w:lang w:val="es-ES"/>
        </w:rPr>
        <w:t>iii</w:t>
      </w:r>
      <w:proofErr w:type="spellEnd"/>
      <w:r w:rsidRPr="00985B97">
        <w:rPr>
          <w:rFonts w:asciiTheme="majorHAnsi" w:hAnsiTheme="majorHAnsi" w:cstheme="majorHAnsi"/>
          <w:lang w:val="es-ES"/>
        </w:rPr>
        <w:t xml:space="preserve">) el potencial no aprovechado de biogás y biometano en Colombia (59% del potencial según la UPME); </w:t>
      </w:r>
      <w:r w:rsidRPr="00985B97">
        <w:rPr>
          <w:rFonts w:asciiTheme="majorHAnsi" w:hAnsiTheme="majorHAnsi" w:cstheme="majorHAnsi"/>
          <w:lang w:val="es-ES"/>
        </w:rPr>
        <w:lastRenderedPageBreak/>
        <w:t>y (</w:t>
      </w:r>
      <w:proofErr w:type="spellStart"/>
      <w:r w:rsidRPr="00985B97">
        <w:rPr>
          <w:rFonts w:asciiTheme="majorHAnsi" w:hAnsiTheme="majorHAnsi" w:cstheme="majorHAnsi"/>
          <w:lang w:val="es-ES"/>
        </w:rPr>
        <w:t>iv</w:t>
      </w:r>
      <w:proofErr w:type="spellEnd"/>
      <w:r w:rsidRPr="00985B97">
        <w:rPr>
          <w:rFonts w:asciiTheme="majorHAnsi" w:hAnsiTheme="majorHAnsi" w:cstheme="majorHAnsi"/>
          <w:lang w:val="es-ES"/>
        </w:rPr>
        <w:t>) la existencia de una regulación previa (Resolución CREG 240 de 2016) que reconoce el biogás como FNCER.</w:t>
      </w:r>
      <w:r w:rsidRPr="00985B97">
        <w:rPr>
          <w:rFonts w:asciiTheme="majorHAnsi" w:hAnsiTheme="majorHAnsi" w:cstheme="majorHAnsi"/>
        </w:rPr>
        <w:t> </w:t>
      </w:r>
    </w:p>
    <w:p w14:paraId="6006492D"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MME es la entidad central y rectora de esta política pública, con responsabilidades directas en su adopción, reglamentación, coordinación interministerial y supervisión técnica.</w:t>
      </w:r>
      <w:r w:rsidRPr="00985B97">
        <w:rPr>
          <w:rFonts w:asciiTheme="majorHAnsi" w:hAnsiTheme="majorHAnsi" w:cstheme="majorHAnsi"/>
        </w:rPr>
        <w:t> </w:t>
      </w:r>
    </w:p>
    <w:p w14:paraId="6C32395B"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proyecto incluye conceptos como digestión anaerobia, </w:t>
      </w:r>
      <w:proofErr w:type="spellStart"/>
      <w:r w:rsidRPr="00985B97">
        <w:rPr>
          <w:rFonts w:asciiTheme="majorHAnsi" w:hAnsiTheme="majorHAnsi" w:cstheme="majorHAnsi"/>
          <w:lang w:val="es-ES"/>
        </w:rPr>
        <w:t>biometanación</w:t>
      </w:r>
      <w:proofErr w:type="spellEnd"/>
      <w:r w:rsidRPr="00985B97">
        <w:rPr>
          <w:rFonts w:asciiTheme="majorHAnsi" w:hAnsiTheme="majorHAnsi" w:cstheme="majorHAnsi"/>
          <w:lang w:val="es-ES"/>
        </w:rPr>
        <w:t>, procesos termoquímicos, redes aisladas para biogás, servicio público domiciliario de gas combustible con biogás o biometano, etc.</w:t>
      </w:r>
      <w:r w:rsidRPr="00985B97">
        <w:rPr>
          <w:rFonts w:asciiTheme="majorHAnsi" w:hAnsiTheme="majorHAnsi" w:cstheme="majorHAnsi"/>
        </w:rPr>
        <w:t> </w:t>
      </w:r>
    </w:p>
    <w:p w14:paraId="5DCF5B7B"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La iniciativa establece siete objetivos, entre ellos: reconocer la importancia del biogás para los compromisos de descarbonización y ODS; fomentar la producción y consumo; impulsar la cadena nacional de valor; incentivar vehículos a metano (pesados, agrícolas); promover la conexión de plantas a redes de gas natural; contribuir a la autosuficiencia energética y diversificación de la matriz; dinamizar la producción agropecuaria y la economía circular.</w:t>
      </w:r>
      <w:r w:rsidRPr="00985B97">
        <w:rPr>
          <w:rFonts w:asciiTheme="majorHAnsi" w:hAnsiTheme="majorHAnsi" w:cstheme="majorHAnsi"/>
        </w:rPr>
        <w:t> </w:t>
      </w:r>
    </w:p>
    <w:p w14:paraId="76F56E99"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La estrategia declara de interés nacional la PPNBB, somete su desarrollo a las reglas de libre competencia e igualdad de condiciones y también crea un programa de movilidad para la descarbonización en el que ordena al Ministerio de Transporte, en articulación con el MME, formular un programa de movilidad con vehículos a biogás o biometano, priorizando transporte pesado, agrícola, público, minero-industrial, comercial y de pasajeros. </w:t>
      </w:r>
      <w:r w:rsidRPr="00985B97">
        <w:rPr>
          <w:rFonts w:asciiTheme="majorHAnsi" w:hAnsiTheme="majorHAnsi" w:cstheme="majorHAnsi"/>
        </w:rPr>
        <w:t> </w:t>
      </w:r>
    </w:p>
    <w:p w14:paraId="40A0D985"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Para la promoción de la movilidad con biogás y biometano se realizaría una exención de restricciones vehiculares (pico y placa, etc.) por 3 años y una exención del certificado de emisión de gases contaminantes. No obstante, la exención del certificado de emisiones puede ser técnicamente problemática, porque, aunque el biometano quema más limpio que el diésel, no es cero emisiones (puede generar </w:t>
      </w:r>
      <w:proofErr w:type="spellStart"/>
      <w:r w:rsidRPr="00985B97">
        <w:rPr>
          <w:rFonts w:asciiTheme="majorHAnsi" w:hAnsiTheme="majorHAnsi" w:cstheme="majorHAnsi"/>
          <w:lang w:val="es-ES"/>
        </w:rPr>
        <w:t>NOx</w:t>
      </w:r>
      <w:proofErr w:type="spellEnd"/>
      <w:r w:rsidRPr="00985B97">
        <w:rPr>
          <w:rFonts w:asciiTheme="majorHAnsi" w:hAnsiTheme="majorHAnsi" w:cstheme="majorHAnsi"/>
          <w:lang w:val="es-ES"/>
        </w:rPr>
        <w:t>, CO, etc.). Eximir el certificado podría llevar a que vehículos mal mantenidos circulen sin control.</w:t>
      </w:r>
      <w:r w:rsidRPr="00985B97">
        <w:rPr>
          <w:rFonts w:asciiTheme="majorHAnsi" w:hAnsiTheme="majorHAnsi" w:cstheme="majorHAnsi"/>
        </w:rPr>
        <w:t> </w:t>
      </w:r>
    </w:p>
    <w:p w14:paraId="75C5998E"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Como incentivos para el aprovechamiento de residuos, los proyectos que utilicen residuos orgánicos para producir electricidad, calor o combustibles (incluyendo biogás y biometano) serían considerados FNCER para acceder a los beneficios de los artículos 11 al 14 de la Ley 1715 de 2014 (exclusión de IVA, deducción en renta, depreciación acelerada, exención de aranceles). </w:t>
      </w:r>
      <w:r w:rsidRPr="00985B97">
        <w:rPr>
          <w:rFonts w:asciiTheme="majorHAnsi" w:hAnsiTheme="majorHAnsi" w:cstheme="majorHAnsi"/>
        </w:rPr>
        <w:t> </w:t>
      </w:r>
    </w:p>
    <w:p w14:paraId="38A0DF69"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lastRenderedPageBreak/>
        <w:t>En cuanto a la seguridad energética, todos los planes, programas y proyectos de biogás deberían garantizar la seguridad energética a largo plazo y contribuir a la diversificación descarbonizada.</w:t>
      </w:r>
      <w:r w:rsidRPr="00985B97">
        <w:rPr>
          <w:rFonts w:asciiTheme="majorHAnsi" w:hAnsiTheme="majorHAnsi" w:cstheme="majorHAnsi"/>
        </w:rPr>
        <w:t> </w:t>
      </w:r>
    </w:p>
    <w:p w14:paraId="0EA79EAE"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Establece condiciones de calidad, seguridad y responsabilidad emitidas por la CREG para la prestación del servicio público domiciliario de gas combustible con biogás o biometano mediante redes interconectadas al SNT. Además de ello, permite redes aisladas que no hagan parte del SNT. </w:t>
      </w:r>
      <w:r w:rsidRPr="00985B97">
        <w:rPr>
          <w:rFonts w:asciiTheme="majorHAnsi" w:hAnsiTheme="majorHAnsi" w:cstheme="majorHAnsi"/>
        </w:rPr>
        <w:t> </w:t>
      </w:r>
    </w:p>
    <w:p w14:paraId="4F7F4364"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La estrategia ordena al MME, Ministerio de Transporte y </w:t>
      </w:r>
      <w:proofErr w:type="spellStart"/>
      <w:r w:rsidRPr="00985B97">
        <w:rPr>
          <w:rFonts w:asciiTheme="majorHAnsi" w:hAnsiTheme="majorHAnsi" w:cstheme="majorHAnsi"/>
          <w:lang w:val="es-ES"/>
        </w:rPr>
        <w:t>MinCiencias</w:t>
      </w:r>
      <w:proofErr w:type="spellEnd"/>
      <w:r w:rsidRPr="00985B97">
        <w:rPr>
          <w:rFonts w:asciiTheme="majorHAnsi" w:hAnsiTheme="majorHAnsi" w:cstheme="majorHAnsi"/>
          <w:lang w:val="es-ES"/>
        </w:rPr>
        <w:t> promover formación, I+D en toda la cadena de biogás, permitiendo así la generación de convenios con universidades y organizaciones privadas.</w:t>
      </w:r>
      <w:r w:rsidRPr="00985B97">
        <w:rPr>
          <w:rFonts w:asciiTheme="majorHAnsi" w:hAnsiTheme="majorHAnsi" w:cstheme="majorHAnsi"/>
        </w:rPr>
        <w:t> </w:t>
      </w:r>
    </w:p>
    <w:p w14:paraId="6049266C"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Además de ello, propone la creación de sistemas de créditos de carbono para que los proyectos de biogás y biometano puedan acceder a créditos de carbono, según establece la Ley 1931 de 2018 y la Ley 1819 de 2016.</w:t>
      </w:r>
      <w:r w:rsidRPr="00985B97">
        <w:rPr>
          <w:rFonts w:asciiTheme="majorHAnsi" w:hAnsiTheme="majorHAnsi" w:cstheme="majorHAnsi"/>
        </w:rPr>
        <w:t> </w:t>
      </w:r>
    </w:p>
    <w:p w14:paraId="7153E7EE"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PL 176 de 2025 es una iniciativa parlamentaria individual que aborda un tema fundamental para la seguridad energética del país: la sustitución de gas natural por biogás y biometano ante el déficit proyectado. La relación puede calificarse como de alta tensión técnica y política, porque el proyecto responde a una urgencia (escasez de gas en firme) que el propio Gobierno Nacional no ha resuelto, pero al mismo tiempo impone plazos y competencias que el MME considera inalcanzables.</w:t>
      </w:r>
      <w:r w:rsidRPr="00985B97">
        <w:rPr>
          <w:rFonts w:asciiTheme="majorHAnsi" w:hAnsiTheme="majorHAnsi" w:cstheme="majorHAnsi"/>
        </w:rPr>
        <w:t> </w:t>
      </w:r>
    </w:p>
    <w:p w14:paraId="3AF5887A"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Exención del certificado de emisiones (artículo 6): El MME y el Ministerio de Ambiente consideran que la exención del certificado de emisiones es inconsistente con la política nacional de calidad del aire. Un vehículo a biometano debe cumplir estándares de emisión, aunque sean más bajos que los de diésel. </w:t>
      </w:r>
      <w:r w:rsidRPr="00985B97">
        <w:rPr>
          <w:rFonts w:asciiTheme="majorHAnsi" w:hAnsiTheme="majorHAnsi" w:cstheme="majorHAnsi"/>
        </w:rPr>
        <w:t> </w:t>
      </w:r>
    </w:p>
    <w:p w14:paraId="78818343"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PL 176 de 2025 refleja una relación de colaboración sustantiva, pero con tensiones significativas en materia de plazos, competencias sectoriales y rigor técnico. El Senador </w:t>
      </w:r>
      <w:proofErr w:type="spellStart"/>
      <w:r w:rsidRPr="00985B97">
        <w:rPr>
          <w:rFonts w:asciiTheme="majorHAnsi" w:hAnsiTheme="majorHAnsi" w:cstheme="majorHAnsi"/>
          <w:lang w:val="es-ES"/>
        </w:rPr>
        <w:t>Name</w:t>
      </w:r>
      <w:proofErr w:type="spellEnd"/>
      <w:r w:rsidRPr="00985B97">
        <w:rPr>
          <w:rFonts w:asciiTheme="majorHAnsi" w:hAnsiTheme="majorHAnsi" w:cstheme="majorHAnsi"/>
          <w:lang w:val="es-ES"/>
        </w:rPr>
        <w:t> identifica el déficit de gas natural en el país y también el potencial del biogás como parte de la solución. Para el MME este proyecto impone plazos difíciles, no es claro en la delimitación de competencias de cada Ministerio y propone una exención ambientalmente insostenible.</w:t>
      </w:r>
      <w:r w:rsidRPr="00985B97">
        <w:rPr>
          <w:rFonts w:asciiTheme="majorHAnsi" w:hAnsiTheme="majorHAnsi" w:cstheme="majorHAnsi"/>
        </w:rPr>
        <w:t> </w:t>
      </w:r>
    </w:p>
    <w:p w14:paraId="1B95A478" w14:textId="77777777" w:rsidR="00222BBC" w:rsidRPr="00985B97" w:rsidRDefault="00C50F13" w:rsidP="00985B97">
      <w:pPr>
        <w:pStyle w:val="Ttulo3"/>
        <w:rPr>
          <w:rFonts w:asciiTheme="majorHAnsi" w:hAnsiTheme="majorHAnsi" w:cstheme="majorHAnsi"/>
          <w:sz w:val="22"/>
          <w:szCs w:val="22"/>
        </w:rPr>
      </w:pPr>
      <w:bookmarkStart w:id="228" w:name="_Toc235092587"/>
      <w:bookmarkStart w:id="229" w:name="_Toc235108031"/>
      <w:r w:rsidRPr="00985B97">
        <w:rPr>
          <w:rFonts w:asciiTheme="majorHAnsi" w:hAnsiTheme="majorHAnsi" w:cstheme="majorHAnsi"/>
          <w:sz w:val="22"/>
          <w:szCs w:val="22"/>
          <w:lang w:val="es-ES"/>
        </w:rPr>
        <w:lastRenderedPageBreak/>
        <w:t>2.2.</w:t>
      </w:r>
      <w:r w:rsidR="00222BBC" w:rsidRPr="00985B97">
        <w:rPr>
          <w:rFonts w:asciiTheme="majorHAnsi" w:hAnsiTheme="majorHAnsi" w:cstheme="majorHAnsi"/>
          <w:sz w:val="22"/>
          <w:szCs w:val="22"/>
          <w:lang w:val="es-ES"/>
        </w:rPr>
        <w:t xml:space="preserve">5 Proyecto de ley 294 de 2025 - </w:t>
      </w:r>
      <w:r w:rsidRPr="00985B97">
        <w:rPr>
          <w:rFonts w:asciiTheme="majorHAnsi" w:hAnsiTheme="majorHAnsi" w:cstheme="majorHAnsi"/>
          <w:sz w:val="22"/>
          <w:szCs w:val="22"/>
          <w:lang w:val="es-ES"/>
        </w:rPr>
        <w:t xml:space="preserve">prohibición del </w:t>
      </w:r>
      <w:proofErr w:type="spellStart"/>
      <w:r w:rsidRPr="00985B97">
        <w:rPr>
          <w:rFonts w:asciiTheme="majorHAnsi" w:hAnsiTheme="majorHAnsi" w:cstheme="majorHAnsi"/>
          <w:sz w:val="22"/>
          <w:szCs w:val="22"/>
          <w:lang w:val="es-ES"/>
        </w:rPr>
        <w:t>fracking</w:t>
      </w:r>
      <w:bookmarkEnd w:id="228"/>
      <w:bookmarkEnd w:id="229"/>
      <w:proofErr w:type="spellEnd"/>
      <w:r w:rsidRPr="00985B97">
        <w:rPr>
          <w:rFonts w:asciiTheme="majorHAnsi" w:hAnsiTheme="majorHAnsi" w:cstheme="majorHAnsi"/>
          <w:sz w:val="22"/>
          <w:szCs w:val="22"/>
        </w:rPr>
        <w:t> </w:t>
      </w:r>
    </w:p>
    <w:p w14:paraId="56D33E46"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Tema: Exploración y producción de yacimientos no convencionales (YNC) y </w:t>
      </w:r>
      <w:proofErr w:type="spellStart"/>
      <w:r w:rsidRPr="00985B97">
        <w:rPr>
          <w:rFonts w:asciiTheme="majorHAnsi" w:hAnsiTheme="majorHAnsi" w:cstheme="majorHAnsi"/>
          <w:lang w:val="es-ES"/>
        </w:rPr>
        <w:t>fracking</w:t>
      </w:r>
      <w:proofErr w:type="spellEnd"/>
      <w:r w:rsidRPr="00985B97">
        <w:rPr>
          <w:rFonts w:asciiTheme="majorHAnsi" w:hAnsiTheme="majorHAnsi" w:cstheme="majorHAnsi"/>
          <w:lang w:val="es-ES"/>
        </w:rPr>
        <w:t>.</w:t>
      </w:r>
      <w:r w:rsidRPr="00985B97">
        <w:rPr>
          <w:rFonts w:asciiTheme="majorHAnsi" w:hAnsiTheme="majorHAnsi" w:cstheme="majorHAnsi"/>
        </w:rPr>
        <w:t> </w:t>
      </w:r>
    </w:p>
    <w:p w14:paraId="0108E37E"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Objeto: Prohibir la exploración y explotación de hidrocarburos en Yacimientos No Convencionales (YNC) en todo el territorio nacional, asociados a areniscas bituminosas, hidratos de metano, gas asociado a mantos de carbón, areniscas y carbonatos apretados y lutitas, así como la utilización de la técnica de </w:t>
      </w:r>
      <w:proofErr w:type="spellStart"/>
      <w:r w:rsidRPr="00985B97">
        <w:rPr>
          <w:rFonts w:asciiTheme="majorHAnsi" w:hAnsiTheme="majorHAnsi" w:cstheme="majorHAnsi"/>
          <w:lang w:val="es-ES"/>
        </w:rPr>
        <w:t>fracking</w:t>
      </w:r>
      <w:proofErr w:type="spellEnd"/>
      <w:r w:rsidRPr="00985B97">
        <w:rPr>
          <w:rFonts w:asciiTheme="majorHAnsi" w:hAnsiTheme="majorHAnsi" w:cstheme="majorHAnsi"/>
          <w:lang w:val="es-ES"/>
        </w:rPr>
        <w:t> en secciones horizontales, para la explotación de hidrocarburos en dichos yacimientos</w:t>
      </w:r>
      <w:r w:rsidRPr="00985B97">
        <w:rPr>
          <w:rFonts w:asciiTheme="majorHAnsi" w:hAnsiTheme="majorHAnsi" w:cstheme="majorHAnsi"/>
        </w:rPr>
        <w:t> </w:t>
      </w:r>
    </w:p>
    <w:p w14:paraId="4D0C0701"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Fecha de radicación: 22 de julio de 2025</w:t>
      </w:r>
      <w:r w:rsidRPr="00985B97">
        <w:rPr>
          <w:rFonts w:asciiTheme="majorHAnsi" w:hAnsiTheme="majorHAnsi" w:cstheme="majorHAnsi"/>
        </w:rPr>
        <w:t> </w:t>
      </w:r>
    </w:p>
    <w:p w14:paraId="61758DF9"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Autores: Senadores Esmeralda Hernández, Iván Cepeda, Robert Daza Guevara, Aída Marina </w:t>
      </w:r>
      <w:proofErr w:type="spellStart"/>
      <w:r w:rsidRPr="00985B97">
        <w:rPr>
          <w:rFonts w:asciiTheme="majorHAnsi" w:hAnsiTheme="majorHAnsi" w:cstheme="majorHAnsi"/>
          <w:lang w:val="es-ES"/>
        </w:rPr>
        <w:t>Quilcué</w:t>
      </w:r>
      <w:proofErr w:type="spellEnd"/>
      <w:r w:rsidRPr="00985B97">
        <w:rPr>
          <w:rFonts w:asciiTheme="majorHAnsi" w:hAnsiTheme="majorHAnsi" w:cstheme="majorHAnsi"/>
          <w:lang w:val="es-ES"/>
        </w:rPr>
        <w:t> Vivas, María José Pizarro Rodríguez, Sandra Yaneth </w:t>
      </w:r>
      <w:proofErr w:type="spellStart"/>
      <w:r w:rsidRPr="00985B97">
        <w:rPr>
          <w:rFonts w:asciiTheme="majorHAnsi" w:hAnsiTheme="majorHAnsi" w:cstheme="majorHAnsi"/>
          <w:lang w:val="es-ES"/>
        </w:rPr>
        <w:t>Jaimes</w:t>
      </w:r>
      <w:proofErr w:type="spellEnd"/>
      <w:r w:rsidRPr="00985B97">
        <w:rPr>
          <w:rFonts w:asciiTheme="majorHAnsi" w:hAnsiTheme="majorHAnsi" w:cstheme="majorHAnsi"/>
          <w:lang w:val="es-ES"/>
        </w:rPr>
        <w:t> Cruz, Edwing Fabián Díaz Plata, Carlos Alberto Benavides Mora, Aida Yolanda Avella Esquivel y Martha Isabel Peralta </w:t>
      </w:r>
      <w:proofErr w:type="spellStart"/>
      <w:r w:rsidRPr="00985B97">
        <w:rPr>
          <w:rFonts w:asciiTheme="majorHAnsi" w:hAnsiTheme="majorHAnsi" w:cstheme="majorHAnsi"/>
          <w:lang w:val="es-ES"/>
        </w:rPr>
        <w:t>Epieyu</w:t>
      </w:r>
      <w:proofErr w:type="spellEnd"/>
      <w:r w:rsidRPr="00985B97">
        <w:rPr>
          <w:rFonts w:asciiTheme="majorHAnsi" w:hAnsiTheme="majorHAnsi" w:cstheme="majorHAnsi"/>
          <w:lang w:val="es-ES"/>
        </w:rPr>
        <w:t>.</w:t>
      </w:r>
      <w:r w:rsidRPr="00985B97">
        <w:rPr>
          <w:rFonts w:asciiTheme="majorHAnsi" w:hAnsiTheme="majorHAnsi" w:cstheme="majorHAnsi"/>
        </w:rPr>
        <w:t> </w:t>
      </w:r>
    </w:p>
    <w:p w14:paraId="75D4823D"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Enlace </w:t>
      </w:r>
      <w:hyperlink r:id="rId95" w:tgtFrame="_blank" w:history="1">
        <w:r w:rsidRPr="00985B97">
          <w:rPr>
            <w:rStyle w:val="Hipervnculo"/>
            <w:rFonts w:asciiTheme="majorHAnsi" w:hAnsiTheme="majorHAnsi" w:cstheme="majorHAnsi"/>
            <w:lang w:val="es-ES"/>
          </w:rPr>
          <w:t>aquí</w:t>
        </w:r>
      </w:hyperlink>
      <w:r w:rsidRPr="00985B97">
        <w:rPr>
          <w:rFonts w:asciiTheme="majorHAnsi" w:hAnsiTheme="majorHAnsi" w:cstheme="majorHAnsi"/>
        </w:rPr>
        <w:t> </w:t>
      </w:r>
    </w:p>
    <w:p w14:paraId="749556DE"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b/>
          <w:bCs/>
        </w:rPr>
      </w:pPr>
      <w:r w:rsidRPr="00985B97">
        <w:rPr>
          <w:rFonts w:asciiTheme="majorHAnsi" w:hAnsiTheme="majorHAnsi" w:cstheme="majorHAnsi"/>
          <w:b/>
          <w:bCs/>
          <w:lang w:val="es-ES"/>
        </w:rPr>
        <w:t>Análisis:</w:t>
      </w:r>
      <w:r w:rsidRPr="00985B97">
        <w:rPr>
          <w:rFonts w:asciiTheme="majorHAnsi" w:hAnsiTheme="majorHAnsi" w:cstheme="majorHAnsi"/>
          <w:b/>
          <w:bCs/>
        </w:rPr>
        <w:t> </w:t>
      </w:r>
    </w:p>
    <w:p w14:paraId="20327477"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proyecto establece un régimen de transición para los contratos vigentes, ofreciendo opciones de reubicación o terminación sin penalidades, y ordena al MME reglamentar las definiciones y prohibiciones en el plazo de un año.</w:t>
      </w:r>
      <w:r w:rsidRPr="00985B97">
        <w:rPr>
          <w:rFonts w:asciiTheme="majorHAnsi" w:hAnsiTheme="majorHAnsi" w:cstheme="majorHAnsi"/>
        </w:rPr>
        <w:t> </w:t>
      </w:r>
    </w:p>
    <w:p w14:paraId="4AAACFC6"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Se trata de una iniciativa que ha sido presentada en otras legislaturas (PL 71/2018, 336/2020, 132/2021, 114/2022, 496/2025) con apoyo de congresistas de diversas fuerzas políticas y de la Alianza Colombia Libre de </w:t>
      </w:r>
      <w:proofErr w:type="spellStart"/>
      <w:r w:rsidRPr="00985B97">
        <w:rPr>
          <w:rFonts w:asciiTheme="majorHAnsi" w:hAnsiTheme="majorHAnsi" w:cstheme="majorHAnsi"/>
          <w:lang w:val="es-ES"/>
        </w:rPr>
        <w:t>Fracking</w:t>
      </w:r>
      <w:proofErr w:type="spellEnd"/>
      <w:r w:rsidRPr="00985B97">
        <w:rPr>
          <w:rFonts w:asciiTheme="majorHAnsi" w:hAnsiTheme="majorHAnsi" w:cstheme="majorHAnsi"/>
          <w:lang w:val="es-ES"/>
        </w:rPr>
        <w:t>. Ha contado con conceptos de viabilidad de los Ministerios de Ambiente, Minas y Energía y Hacienda en el pasado, pero nunca ha sido aprobada.</w:t>
      </w:r>
      <w:r w:rsidRPr="00985B97">
        <w:rPr>
          <w:rFonts w:asciiTheme="majorHAnsi" w:hAnsiTheme="majorHAnsi" w:cstheme="majorHAnsi"/>
        </w:rPr>
        <w:t> </w:t>
      </w:r>
    </w:p>
    <w:p w14:paraId="15F1B0E7"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MME es la autoridad competente en materia de política de hidrocarburos, regulación técnica y supervisión de la Agencia Nacional de Hidrocarburos (ANH), por lo cual, el proyecto afecta directamente las atribuciones del MME y de la ANH.</w:t>
      </w:r>
      <w:r w:rsidRPr="00985B97">
        <w:rPr>
          <w:rFonts w:asciiTheme="majorHAnsi" w:hAnsiTheme="majorHAnsi" w:cstheme="majorHAnsi"/>
        </w:rPr>
        <w:t> </w:t>
      </w:r>
    </w:p>
    <w:p w14:paraId="741C5CD1"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lastRenderedPageBreak/>
        <w:t>El articulado prohíbe la exploración y explotación de YNC y el </w:t>
      </w:r>
      <w:proofErr w:type="spellStart"/>
      <w:r w:rsidRPr="00985B97">
        <w:rPr>
          <w:rFonts w:asciiTheme="majorHAnsi" w:hAnsiTheme="majorHAnsi" w:cstheme="majorHAnsi"/>
          <w:lang w:val="es-ES"/>
        </w:rPr>
        <w:t>fracking</w:t>
      </w:r>
      <w:proofErr w:type="spellEnd"/>
      <w:r w:rsidRPr="00985B97">
        <w:rPr>
          <w:rFonts w:asciiTheme="majorHAnsi" w:hAnsiTheme="majorHAnsi" w:cstheme="majorHAnsi"/>
          <w:lang w:val="es-ES"/>
        </w:rPr>
        <w:t>, busca proteger el medio ambiente, la salud, prevenir conflictos socioambientales y contribuir al cumplimiento del Acuerdo de París.</w:t>
      </w:r>
      <w:r w:rsidRPr="00985B97">
        <w:rPr>
          <w:rFonts w:asciiTheme="majorHAnsi" w:hAnsiTheme="majorHAnsi" w:cstheme="majorHAnsi"/>
        </w:rPr>
        <w:t> </w:t>
      </w:r>
    </w:p>
    <w:p w14:paraId="7F21A207"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No obstante, no distingue entre diferentes tipos de YNC. Por ejemplo, el “gas metano asociado a mantos de carbón” (CBM) se ha extraído en Colombia sin </w:t>
      </w:r>
      <w:proofErr w:type="spellStart"/>
      <w:r w:rsidRPr="00985B97">
        <w:rPr>
          <w:rFonts w:asciiTheme="majorHAnsi" w:hAnsiTheme="majorHAnsi" w:cstheme="majorHAnsi"/>
          <w:lang w:val="es-ES"/>
        </w:rPr>
        <w:t>fracking</w:t>
      </w:r>
      <w:proofErr w:type="spellEnd"/>
      <w:r w:rsidRPr="00985B97">
        <w:rPr>
          <w:rFonts w:asciiTheme="majorHAnsi" w:hAnsiTheme="majorHAnsi" w:cstheme="majorHAnsi"/>
          <w:lang w:val="es-ES"/>
        </w:rPr>
        <w:t>, mediante técnicas convencionales. La prohibición absoluta de la producción de CBM, incluso sin </w:t>
      </w:r>
      <w:proofErr w:type="spellStart"/>
      <w:r w:rsidRPr="00985B97">
        <w:rPr>
          <w:rFonts w:asciiTheme="majorHAnsi" w:hAnsiTheme="majorHAnsi" w:cstheme="majorHAnsi"/>
          <w:lang w:val="es-ES"/>
        </w:rPr>
        <w:t>fracking</w:t>
      </w:r>
      <w:proofErr w:type="spellEnd"/>
      <w:r w:rsidRPr="00985B97">
        <w:rPr>
          <w:rFonts w:asciiTheme="majorHAnsi" w:hAnsiTheme="majorHAnsi" w:cstheme="majorHAnsi"/>
          <w:lang w:val="es-ES"/>
        </w:rPr>
        <w:t>, podría tener consecuencias no deseadas sobre el abastecimiento de gas natural.</w:t>
      </w:r>
      <w:r w:rsidRPr="00985B97">
        <w:rPr>
          <w:rFonts w:asciiTheme="majorHAnsi" w:hAnsiTheme="majorHAnsi" w:cstheme="majorHAnsi"/>
        </w:rPr>
        <w:t> </w:t>
      </w:r>
    </w:p>
    <w:p w14:paraId="4851DA28"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Adicionalmente, prohíbe la utilización del </w:t>
      </w:r>
      <w:proofErr w:type="spellStart"/>
      <w:r w:rsidRPr="00985B97">
        <w:rPr>
          <w:rFonts w:asciiTheme="majorHAnsi" w:hAnsiTheme="majorHAnsi" w:cstheme="majorHAnsi"/>
          <w:lang w:val="es-ES"/>
        </w:rPr>
        <w:t>fracturamiento</w:t>
      </w:r>
      <w:proofErr w:type="spellEnd"/>
      <w:r w:rsidRPr="00985B97">
        <w:rPr>
          <w:rFonts w:asciiTheme="majorHAnsi" w:hAnsiTheme="majorHAnsi" w:cstheme="majorHAnsi"/>
          <w:lang w:val="es-ES"/>
        </w:rPr>
        <w:t> hidráulico multietapa en secciones horizontales para la explotación de hidrocarburos en YNC, así como la exploración y explotación de hidrocarburos provenientes de YNC del tipo areniscas bituminosas, hidratos de metano, gas asociado a mantos de carbón, arenas y carbonatos apretados, y lutitas. También declara sin vigencia los Contratos Especiales de Proyectos de Investigación (CEPI). Los CEPI fueron los contratos suscritos para los proyectos piloto de </w:t>
      </w:r>
      <w:proofErr w:type="spellStart"/>
      <w:r w:rsidRPr="00985B97">
        <w:rPr>
          <w:rFonts w:asciiTheme="majorHAnsi" w:hAnsiTheme="majorHAnsi" w:cstheme="majorHAnsi"/>
          <w:lang w:val="es-ES"/>
        </w:rPr>
        <w:t>fracking</w:t>
      </w:r>
      <w:proofErr w:type="spellEnd"/>
      <w:r w:rsidRPr="00985B97">
        <w:rPr>
          <w:rFonts w:asciiTheme="majorHAnsi" w:hAnsiTheme="majorHAnsi" w:cstheme="majorHAnsi"/>
          <w:lang w:val="es-ES"/>
        </w:rPr>
        <w:t> en el Valle Medio del Magdalena (proyectos </w:t>
      </w:r>
      <w:proofErr w:type="spellStart"/>
      <w:r w:rsidRPr="00985B97">
        <w:rPr>
          <w:rFonts w:asciiTheme="majorHAnsi" w:hAnsiTheme="majorHAnsi" w:cstheme="majorHAnsi"/>
          <w:lang w:val="es-ES"/>
        </w:rPr>
        <w:t>Kalé</w:t>
      </w:r>
      <w:proofErr w:type="spellEnd"/>
      <w:r w:rsidRPr="00985B97">
        <w:rPr>
          <w:rFonts w:asciiTheme="majorHAnsi" w:hAnsiTheme="majorHAnsi" w:cstheme="majorHAnsi"/>
          <w:lang w:val="es-ES"/>
        </w:rPr>
        <w:t>, Platero y Conejo). La terminación de los CEPI fue una sugerencia del MME en conceptos anteriores, debido a que los proyectos piloto nunca demostraron viabilidad ambiental y social. </w:t>
      </w:r>
      <w:r w:rsidRPr="00985B97">
        <w:rPr>
          <w:rFonts w:asciiTheme="majorHAnsi" w:hAnsiTheme="majorHAnsi" w:cstheme="majorHAnsi"/>
        </w:rPr>
        <w:t> </w:t>
      </w:r>
    </w:p>
    <w:p w14:paraId="072B14DD"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texto prohíbe nuevos contratos, prórrogas o renovaciones, razón por la cual, para los contratos vigentes, la ANH deberá ofrecer a los contratistas cuatro opciones: (i) nuevo contrato en la misma área para yacimientos convencionales, (</w:t>
      </w:r>
      <w:proofErr w:type="spellStart"/>
      <w:r w:rsidRPr="00985B97">
        <w:rPr>
          <w:rFonts w:asciiTheme="majorHAnsi" w:hAnsiTheme="majorHAnsi" w:cstheme="majorHAnsi"/>
          <w:lang w:val="es-ES"/>
        </w:rPr>
        <w:t>ii</w:t>
      </w:r>
      <w:proofErr w:type="spellEnd"/>
      <w:r w:rsidRPr="00985B97">
        <w:rPr>
          <w:rFonts w:asciiTheme="majorHAnsi" w:hAnsiTheme="majorHAnsi" w:cstheme="majorHAnsi"/>
          <w:lang w:val="es-ES"/>
        </w:rPr>
        <w:t>) traslado de inversiones, (</w:t>
      </w:r>
      <w:proofErr w:type="spellStart"/>
      <w:r w:rsidRPr="00985B97">
        <w:rPr>
          <w:rFonts w:asciiTheme="majorHAnsi" w:hAnsiTheme="majorHAnsi" w:cstheme="majorHAnsi"/>
          <w:lang w:val="es-ES"/>
        </w:rPr>
        <w:t>iii</w:t>
      </w:r>
      <w:proofErr w:type="spellEnd"/>
      <w:r w:rsidRPr="00985B97">
        <w:rPr>
          <w:rFonts w:asciiTheme="majorHAnsi" w:hAnsiTheme="majorHAnsi" w:cstheme="majorHAnsi"/>
          <w:lang w:val="es-ES"/>
        </w:rPr>
        <w:t>) adjudicación de áreas no otorgadas, o (</w:t>
      </w:r>
      <w:proofErr w:type="spellStart"/>
      <w:r w:rsidRPr="00985B97">
        <w:rPr>
          <w:rFonts w:asciiTheme="majorHAnsi" w:hAnsiTheme="majorHAnsi" w:cstheme="majorHAnsi"/>
          <w:lang w:val="es-ES"/>
        </w:rPr>
        <w:t>iv</w:t>
      </w:r>
      <w:proofErr w:type="spellEnd"/>
      <w:r w:rsidRPr="00985B97">
        <w:rPr>
          <w:rFonts w:asciiTheme="majorHAnsi" w:hAnsiTheme="majorHAnsi" w:cstheme="majorHAnsi"/>
          <w:lang w:val="es-ES"/>
        </w:rPr>
        <w:t>) terminación por mutuo acuerdo sin consecuencias adversas ni pago de inversión pendiente. Transcurridos dos años sin acogerse a las opciones, los contratos se entienden terminados sin penalidades. Este </w:t>
      </w:r>
      <w:proofErr w:type="spellStart"/>
      <w:r w:rsidRPr="00985B97">
        <w:rPr>
          <w:rFonts w:asciiTheme="majorHAnsi" w:hAnsiTheme="majorHAnsi" w:cstheme="majorHAnsi"/>
          <w:lang w:val="es-ES"/>
        </w:rPr>
        <w:t>regimen</w:t>
      </w:r>
      <w:proofErr w:type="spellEnd"/>
      <w:r w:rsidRPr="00985B97">
        <w:rPr>
          <w:rFonts w:asciiTheme="majorHAnsi" w:hAnsiTheme="majorHAnsi" w:cstheme="majorHAnsi"/>
          <w:lang w:val="es-ES"/>
        </w:rPr>
        <w:t> de transición que minimiza el riesgo de demandas internacionales bajo tratados de inversión (CIADI).</w:t>
      </w:r>
      <w:r w:rsidRPr="00985B97">
        <w:rPr>
          <w:rFonts w:asciiTheme="majorHAnsi" w:hAnsiTheme="majorHAnsi" w:cstheme="majorHAnsi"/>
        </w:rPr>
        <w:t> </w:t>
      </w:r>
    </w:p>
    <w:p w14:paraId="1ACC1E15"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PL 053 de 2025 es una iniciativa parlamentaria recurrente con apoyo transversal de numerosos congresistas de distintas bancadas y de movimientos sociales. El MME ha tenido posiciones cambiantes en el pasado: durante el gobierno anterior (Duque) se apoyaron los proyectos piloto de </w:t>
      </w:r>
      <w:proofErr w:type="spellStart"/>
      <w:r w:rsidRPr="00985B97">
        <w:rPr>
          <w:rFonts w:asciiTheme="majorHAnsi" w:hAnsiTheme="majorHAnsi" w:cstheme="majorHAnsi"/>
          <w:lang w:val="es-ES"/>
        </w:rPr>
        <w:t>fracking</w:t>
      </w:r>
      <w:proofErr w:type="spellEnd"/>
      <w:r w:rsidRPr="00985B97">
        <w:rPr>
          <w:rFonts w:asciiTheme="majorHAnsi" w:hAnsiTheme="majorHAnsi" w:cstheme="majorHAnsi"/>
          <w:lang w:val="es-ES"/>
        </w:rPr>
        <w:t>; en el gobierno actual (Petro) la posición del MME ha sido más cautelosa, reconociendo que el país no está listo para el </w:t>
      </w:r>
      <w:proofErr w:type="spellStart"/>
      <w:r w:rsidRPr="00985B97">
        <w:rPr>
          <w:rFonts w:asciiTheme="majorHAnsi" w:hAnsiTheme="majorHAnsi" w:cstheme="majorHAnsi"/>
          <w:lang w:val="es-ES"/>
        </w:rPr>
        <w:t>fracking</w:t>
      </w:r>
      <w:proofErr w:type="spellEnd"/>
      <w:r w:rsidRPr="00985B97">
        <w:rPr>
          <w:rFonts w:asciiTheme="majorHAnsi" w:hAnsiTheme="majorHAnsi" w:cstheme="majorHAnsi"/>
          <w:lang w:val="es-ES"/>
        </w:rPr>
        <w:t xml:space="preserve">, pero sin una prohibición legal absoluta, mientras que el Congreso ha intentado aprobar </w:t>
      </w:r>
      <w:r w:rsidRPr="00985B97">
        <w:rPr>
          <w:rFonts w:asciiTheme="majorHAnsi" w:hAnsiTheme="majorHAnsi" w:cstheme="majorHAnsi"/>
          <w:lang w:val="es-ES"/>
        </w:rPr>
        <w:lastRenderedPageBreak/>
        <w:t>esta ley en múltiples ocasiones sin éxito; y esta vez podría tener la votación necesaria, teniendo en cuenta la conformación de la coalición de fuerzas que favorece al partido de gobierno.</w:t>
      </w:r>
      <w:r w:rsidRPr="00985B97">
        <w:rPr>
          <w:rFonts w:asciiTheme="majorHAnsi" w:hAnsiTheme="majorHAnsi" w:cstheme="majorHAnsi"/>
        </w:rPr>
        <w:t> </w:t>
      </w:r>
    </w:p>
    <w:p w14:paraId="23AABD29" w14:textId="77777777" w:rsidR="00222BBC" w:rsidRPr="00985B97" w:rsidRDefault="00C50F13" w:rsidP="00985B97">
      <w:pPr>
        <w:pStyle w:val="Ttulo3"/>
        <w:rPr>
          <w:rFonts w:asciiTheme="majorHAnsi" w:hAnsiTheme="majorHAnsi" w:cstheme="majorHAnsi"/>
          <w:sz w:val="22"/>
          <w:szCs w:val="22"/>
        </w:rPr>
      </w:pPr>
      <w:bookmarkStart w:id="230" w:name="_Toc235092588"/>
      <w:bookmarkStart w:id="231" w:name="_Toc235108032"/>
      <w:r w:rsidRPr="00985B97">
        <w:rPr>
          <w:rFonts w:asciiTheme="majorHAnsi" w:hAnsiTheme="majorHAnsi" w:cstheme="majorHAnsi"/>
          <w:sz w:val="22"/>
          <w:szCs w:val="22"/>
          <w:lang w:val="es-ES"/>
        </w:rPr>
        <w:t>2.2.</w:t>
      </w:r>
      <w:r w:rsidR="00222BBC" w:rsidRPr="00985B97">
        <w:rPr>
          <w:rFonts w:asciiTheme="majorHAnsi" w:hAnsiTheme="majorHAnsi" w:cstheme="majorHAnsi"/>
          <w:sz w:val="22"/>
          <w:szCs w:val="22"/>
          <w:lang w:val="es-ES"/>
        </w:rPr>
        <w:t>6 Proyecto de ley 282 de 2025 – Nueva ley minera</w:t>
      </w:r>
      <w:bookmarkEnd w:id="230"/>
      <w:bookmarkEnd w:id="231"/>
      <w:r w:rsidR="00222BBC" w:rsidRPr="00985B97">
        <w:rPr>
          <w:rFonts w:asciiTheme="majorHAnsi" w:hAnsiTheme="majorHAnsi" w:cstheme="majorHAnsi"/>
          <w:sz w:val="22"/>
          <w:szCs w:val="22"/>
        </w:rPr>
        <w:t> </w:t>
      </w:r>
    </w:p>
    <w:p w14:paraId="682783D7"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Tema: Reforma al código minero</w:t>
      </w:r>
      <w:r w:rsidRPr="00985B97">
        <w:rPr>
          <w:rFonts w:asciiTheme="majorHAnsi" w:hAnsiTheme="majorHAnsi" w:cstheme="majorHAnsi"/>
        </w:rPr>
        <w:t> </w:t>
      </w:r>
    </w:p>
    <w:p w14:paraId="4EF9C6EA"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Objeto: Organizar, planificar, regular y fomentar el aprovechamiento sustentable de minerales en el territorio nacional, en armonía con principios, normas y parámetros ambientales, sociales y culturales, con el propósito de fortalecer su administración soberana y avanzar hacia el desarrollo de una economía productiva, participativa e industrializada en el país; garantizar el abastecimiento de minerales; la distribución equitativa de los beneficios y la prestación de sus servicios con un enfoque territorial, étnico e incluyente; alcanzar condiciones dignas de existencia, particularmente en las zonas destinadas a esas operaciones; y, contribuir al logro de la transición energética justa, segura y gradual para todos los habitantes del país.</w:t>
      </w:r>
      <w:r w:rsidRPr="00985B97">
        <w:rPr>
          <w:rFonts w:asciiTheme="majorHAnsi" w:hAnsiTheme="majorHAnsi" w:cstheme="majorHAnsi"/>
        </w:rPr>
        <w:t> </w:t>
      </w:r>
    </w:p>
    <w:p w14:paraId="5F50E9DB"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Autores: Ministerio de Minas y Energía</w:t>
      </w:r>
      <w:r w:rsidRPr="00985B97">
        <w:rPr>
          <w:rFonts w:asciiTheme="majorHAnsi" w:hAnsiTheme="majorHAnsi" w:cstheme="majorHAnsi"/>
        </w:rPr>
        <w:t> </w:t>
      </w:r>
    </w:p>
    <w:p w14:paraId="3E285126"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Comisión V de Senado</w:t>
      </w:r>
      <w:r w:rsidRPr="00985B97">
        <w:rPr>
          <w:rFonts w:asciiTheme="majorHAnsi" w:hAnsiTheme="majorHAnsi" w:cstheme="majorHAnsi"/>
        </w:rPr>
        <w:t> </w:t>
      </w:r>
    </w:p>
    <w:p w14:paraId="2BBDE96F"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Enlace </w:t>
      </w:r>
      <w:hyperlink r:id="rId96" w:tgtFrame="_blank" w:history="1">
        <w:r w:rsidRPr="00985B97">
          <w:rPr>
            <w:rStyle w:val="Hipervnculo"/>
            <w:rFonts w:asciiTheme="majorHAnsi" w:hAnsiTheme="majorHAnsi" w:cstheme="majorHAnsi"/>
            <w:lang w:val="es-ES"/>
          </w:rPr>
          <w:t>aquí</w:t>
        </w:r>
      </w:hyperlink>
      <w:r w:rsidRPr="00985B97">
        <w:rPr>
          <w:rFonts w:asciiTheme="majorHAnsi" w:hAnsiTheme="majorHAnsi" w:cstheme="majorHAnsi"/>
        </w:rPr>
        <w:t> </w:t>
      </w:r>
    </w:p>
    <w:p w14:paraId="2FB11DDE"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b/>
          <w:bCs/>
        </w:rPr>
      </w:pPr>
      <w:r w:rsidRPr="00985B97">
        <w:rPr>
          <w:rFonts w:asciiTheme="majorHAnsi" w:hAnsiTheme="majorHAnsi" w:cstheme="majorHAnsi"/>
          <w:b/>
          <w:bCs/>
          <w:lang w:val="es-ES"/>
        </w:rPr>
        <w:t>Análisis:</w:t>
      </w:r>
      <w:r w:rsidRPr="00985B97">
        <w:rPr>
          <w:rFonts w:asciiTheme="majorHAnsi" w:hAnsiTheme="majorHAnsi" w:cstheme="majorHAnsi"/>
          <w:b/>
          <w:bCs/>
        </w:rPr>
        <w:t> </w:t>
      </w:r>
    </w:p>
    <w:p w14:paraId="38D39F9F"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MME es el autor, rector y principal ejecutor de esta ley. A diferencia de los proyectos parlamentarios analizados anteriormente, aquí el Ministerio no es un observador externo sino el legitimador político y técnico de la iniciativa.</w:t>
      </w:r>
      <w:r w:rsidRPr="00985B97">
        <w:rPr>
          <w:rFonts w:asciiTheme="majorHAnsi" w:hAnsiTheme="majorHAnsi" w:cstheme="majorHAnsi"/>
        </w:rPr>
        <w:t> </w:t>
      </w:r>
    </w:p>
    <w:p w14:paraId="299F65AA"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En el artículo 1, que plantea el objeto de la norma, el cambio de minería “sostenible” a “sustentable” implica un uso de los recursos que garantice su permanencia en el tiempo y la regeneración de su capacidad, en línea con la cosmovisión de los pueblos étnicos y con los principios de la economía circular.</w:t>
      </w:r>
      <w:r w:rsidRPr="00985B97">
        <w:rPr>
          <w:rFonts w:asciiTheme="majorHAnsi" w:hAnsiTheme="majorHAnsi" w:cstheme="majorHAnsi"/>
        </w:rPr>
        <w:t> </w:t>
      </w:r>
    </w:p>
    <w:p w14:paraId="630BE87F"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lastRenderedPageBreak/>
        <w:t>El concepto de “reindustrialización nacional” como eje transversal, representa un cambio con relación al modelo extractivo exportador de materias primas sin valor agregado, siendo este es uno de los aportes más innovadores del proyecto.</w:t>
      </w:r>
      <w:r w:rsidRPr="00985B97">
        <w:rPr>
          <w:rFonts w:asciiTheme="majorHAnsi" w:hAnsiTheme="majorHAnsi" w:cstheme="majorHAnsi"/>
        </w:rPr>
        <w:t> </w:t>
      </w:r>
    </w:p>
    <w:p w14:paraId="5AE343C0"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articulado incluye principios como soberanía sobre los minerales, prevalencia del agua, aprovechamiento sustentable, solidaridad intergeneracional, prevención, precaución, gestión del riesgo, progresividad y no regresividad, rigor subsidiario, coordinación-concurrencia-subsidiariedad, responsabilidad de la minería, responsabilidad climática, tránsito a economías productivas, planificación con enfoque territorial, debida diligencia, participación, igualdad de género, protección a la diversidad étnica y cultural, y protección a los territorios indígenas.</w:t>
      </w:r>
      <w:r w:rsidRPr="00985B97">
        <w:rPr>
          <w:rFonts w:asciiTheme="majorHAnsi" w:hAnsiTheme="majorHAnsi" w:cstheme="majorHAnsi"/>
        </w:rPr>
        <w:t> </w:t>
      </w:r>
    </w:p>
    <w:p w14:paraId="5BAB0101"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La iniciativa crea un modelo de planificación minera que determina Zonas Excluidas de la Minería (ZEM) y Zonas Aptas para la Minería (ZAM), dentro de las cuales se pueden declarar Áreas de Minerales Estratégicos (AME), Áreas para el Desarrollo Minero (ADM), Áreas de Fomento y Formalización para la Pequeña Minería (AFM), y Áreas Mineras de Pueblos y Comunidades Étnicas (AMPCE). Este es el cambio estructural más importante del proyecto porque, actualmente, la Ley 685 de 2001 permite la titulación minera sin planificación territorial previa, lo que ha generado que se presenten conflictos en áreas protegidas como páramos, humedales y territorios étnicos. Este proyecto invierte la lógica: primero se planifica, luego se contrata.</w:t>
      </w:r>
      <w:r w:rsidRPr="00985B97">
        <w:rPr>
          <w:rFonts w:asciiTheme="majorHAnsi" w:hAnsiTheme="majorHAnsi" w:cstheme="majorHAnsi"/>
        </w:rPr>
        <w:t> </w:t>
      </w:r>
    </w:p>
    <w:p w14:paraId="4A525E8D"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El MME asume entonces un rol protagónico en la delimitación de las ZAM, en coordinación con la UPME, el Servicio Geológico Colombiano y el Ministerio de Ambiente. </w:t>
      </w:r>
      <w:r w:rsidRPr="00985B97">
        <w:rPr>
          <w:rFonts w:asciiTheme="majorHAnsi" w:hAnsiTheme="majorHAnsi" w:cstheme="majorHAnsi"/>
        </w:rPr>
        <w:t> </w:t>
      </w:r>
    </w:p>
    <w:p w14:paraId="5502233C"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Se fijan Zonas Excluidas de la Minería (ZEM) como Parques Nacionales Naturales, Parques Naturales Regionales, Reservas Forestales Protectoras, páramos, arrecifes de coral, manglares, humedales Ramsar, patrimonio geológico y espeleológico, zonas de recarga de acuíferos, áreas urbanas, territorios de pueblos indígenas en aislamiento, y espacios marinos y costeros jurisdiccionales (con excepción de la extracción de sal marina desde tierra firme). Esta disposición esta alineada con otras sentencias de las altas cortes, la Decisión 774 de la CAN y con los Objetivos de Desarrollo Sostenible (ODS 14).</w:t>
      </w:r>
      <w:r w:rsidRPr="00985B97">
        <w:rPr>
          <w:rFonts w:asciiTheme="majorHAnsi" w:hAnsiTheme="majorHAnsi" w:cstheme="majorHAnsi"/>
        </w:rPr>
        <w:t> </w:t>
      </w:r>
    </w:p>
    <w:p w14:paraId="4E0E90BC"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lastRenderedPageBreak/>
        <w:t>Se prohíbe la adjudicación de nuevos contratos para carbón térmico, en línea con los compromisos de descarbonización que ha adquirido el gobierno nacional, sin afectar los contratos vigentes. </w:t>
      </w:r>
      <w:r w:rsidRPr="00985B97">
        <w:rPr>
          <w:rFonts w:asciiTheme="majorHAnsi" w:hAnsiTheme="majorHAnsi" w:cstheme="majorHAnsi"/>
        </w:rPr>
        <w:t> </w:t>
      </w:r>
    </w:p>
    <w:p w14:paraId="1FD35145"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Se establece la noción de ciclo minero, que está conformada por la fase de alistamiento exploratorio (antes de la exploración) para que el contratista obtenga la licencia ambiental, construcción y montaje; explotación, que incluye las actividades de beneficio, transporte, transformación y comercialización; cierre y </w:t>
      </w:r>
      <w:proofErr w:type="spellStart"/>
      <w:r w:rsidRPr="00985B97">
        <w:rPr>
          <w:rFonts w:asciiTheme="majorHAnsi" w:hAnsiTheme="majorHAnsi" w:cstheme="majorHAnsi"/>
          <w:lang w:val="es-ES"/>
        </w:rPr>
        <w:t>postcierre</w:t>
      </w:r>
      <w:proofErr w:type="spellEnd"/>
      <w:r w:rsidRPr="00985B97">
        <w:rPr>
          <w:rFonts w:asciiTheme="majorHAnsi" w:hAnsiTheme="majorHAnsi" w:cstheme="majorHAnsi"/>
          <w:lang w:val="es-ES"/>
        </w:rPr>
        <w:t>. La exploración tiene una duración máxima de 10 años, la construcción y montaje 3 años, y la explotación 20 años prorrogables por única vez.</w:t>
      </w:r>
      <w:r w:rsidRPr="00985B97">
        <w:rPr>
          <w:rFonts w:asciiTheme="majorHAnsi" w:hAnsiTheme="majorHAnsi" w:cstheme="majorHAnsi"/>
        </w:rPr>
        <w:t> </w:t>
      </w:r>
    </w:p>
    <w:p w14:paraId="08E176CC"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La inclusión de la licencia ambiental desde la fase de exploración es una recomendación de la OCDE y del Consejo de Estado (sentencia Ventanilla Minera) que acata el MME.</w:t>
      </w:r>
      <w:r w:rsidRPr="00985B97">
        <w:rPr>
          <w:rFonts w:asciiTheme="majorHAnsi" w:hAnsiTheme="majorHAnsi" w:cstheme="majorHAnsi"/>
        </w:rPr>
        <w:t> </w:t>
      </w:r>
    </w:p>
    <w:p w14:paraId="4C972276"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En la etapa de cierre minero el contratista está obligado a presentar un plan de cierre antes del inicio de la fase de construcción y montaje, con tres componentes: cierre técnico-minero-operativo, cierre socioambiental y cierre laboral. Se debe constituir un patrimonio autónomo para financiar el cierre. Los contratos vigentes tienen 2 años para adaptarse.</w:t>
      </w:r>
      <w:r w:rsidRPr="00985B97">
        <w:rPr>
          <w:rFonts w:asciiTheme="majorHAnsi" w:hAnsiTheme="majorHAnsi" w:cstheme="majorHAnsi"/>
        </w:rPr>
        <w:t> </w:t>
      </w:r>
    </w:p>
    <w:p w14:paraId="5D11E51A"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La norma también establece el requerimiento de una licencia ambiental integral desde la exploración hasta el cierre, con monitoreo por fase y concepto de conformidad para pasar a la siguiente fase, una disposición que el MME ha promovido durante años, para la cual la coordinación entre la ANLA y la ANM es clave. </w:t>
      </w:r>
      <w:r w:rsidRPr="00985B97">
        <w:rPr>
          <w:rFonts w:asciiTheme="majorHAnsi" w:hAnsiTheme="majorHAnsi" w:cstheme="majorHAnsi"/>
        </w:rPr>
        <w:t> </w:t>
      </w:r>
    </w:p>
    <w:p w14:paraId="128F074A"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Los requisitos de contratación de al menos 50% de mano de obra local, el plan de Gestión Social con proyectos productivos y reconversión laboral; la transferencia de tecnología; y la priorización de la demanda interna de minerales permiten materializar la noción de “minería para la vida” propuesta por el gobierno nacional, así como el tránsito de una economía extractiva a una productiva. </w:t>
      </w:r>
      <w:r w:rsidRPr="00985B97">
        <w:rPr>
          <w:rFonts w:asciiTheme="majorHAnsi" w:hAnsiTheme="majorHAnsi" w:cstheme="majorHAnsi"/>
        </w:rPr>
        <w:t> </w:t>
      </w:r>
    </w:p>
    <w:p w14:paraId="14176A7E"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También se crea el Registro Único de Mineros y Mineras Informales (RUMMI) y se establecen mecanismos de formalización en áreas libres y en áreas con título vigente (subcontratos, cesión de áreas, etc.), permitiendo atacar la informalidad minera al o frece una hoja de ruta clara para la formalización, incluyendo la minería de subsistencia y ancestral.</w:t>
      </w:r>
      <w:r w:rsidRPr="00985B97">
        <w:rPr>
          <w:rFonts w:asciiTheme="majorHAnsi" w:hAnsiTheme="majorHAnsi" w:cstheme="majorHAnsi"/>
        </w:rPr>
        <w:t> </w:t>
      </w:r>
    </w:p>
    <w:p w14:paraId="615D179F"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lastRenderedPageBreak/>
        <w:t>Se crean Áreas Mineras de Pueblos Indígenas (AMPI) y Áreas Mineras de Comunidades Negras, Afrocolombianas, Raizales y Palenqueras (AMCNARP), reconociendo la minería ancestral, y se exonera del canon superficiario a la pequeña </w:t>
      </w:r>
      <w:proofErr w:type="spellStart"/>
      <w:r w:rsidRPr="00985B97">
        <w:rPr>
          <w:rFonts w:asciiTheme="majorHAnsi" w:hAnsiTheme="majorHAnsi" w:cstheme="majorHAnsi"/>
          <w:lang w:val="es-ES"/>
        </w:rPr>
        <w:t>minería</w:t>
      </w:r>
      <w:proofErr w:type="spellEnd"/>
      <w:r w:rsidRPr="00985B97">
        <w:rPr>
          <w:rFonts w:asciiTheme="majorHAnsi" w:hAnsiTheme="majorHAnsi" w:cstheme="majorHAnsi"/>
          <w:lang w:val="es-ES"/>
        </w:rPr>
        <w:t> étnica. Establece contratos diferenciales intransferibles, y garantiza la consulta previa y el consentimiento libre, previo e informado.</w:t>
      </w:r>
      <w:r w:rsidRPr="00985B97">
        <w:rPr>
          <w:rFonts w:asciiTheme="majorHAnsi" w:hAnsiTheme="majorHAnsi" w:cstheme="majorHAnsi"/>
        </w:rPr>
        <w:t> </w:t>
      </w:r>
    </w:p>
    <w:p w14:paraId="4B602346"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Estas acotaciones atienden a que el proyecto contó con las consultas previas a los pueblos indígenas, las comunidades NARP y los pueblos </w:t>
      </w:r>
      <w:proofErr w:type="spellStart"/>
      <w:r w:rsidRPr="00985B97">
        <w:rPr>
          <w:rFonts w:asciiTheme="majorHAnsi" w:hAnsiTheme="majorHAnsi" w:cstheme="majorHAnsi"/>
          <w:lang w:val="es-ES"/>
        </w:rPr>
        <w:t>Rrom</w:t>
      </w:r>
      <w:proofErr w:type="spellEnd"/>
      <w:r w:rsidRPr="00985B97">
        <w:rPr>
          <w:rFonts w:asciiTheme="majorHAnsi" w:hAnsiTheme="majorHAnsi" w:cstheme="majorHAnsi"/>
          <w:lang w:val="es-ES"/>
        </w:rPr>
        <w:t>. Es la primera vez que una ley minera se construye con la participación efectiva de los pueblos étnicos.</w:t>
      </w:r>
      <w:r w:rsidRPr="00985B97">
        <w:rPr>
          <w:rFonts w:asciiTheme="majorHAnsi" w:hAnsiTheme="majorHAnsi" w:cstheme="majorHAnsi"/>
        </w:rPr>
        <w:t> </w:t>
      </w:r>
    </w:p>
    <w:p w14:paraId="42361F94" w14:textId="77777777" w:rsidR="00222BBC" w:rsidRPr="00985B97" w:rsidRDefault="00222BBC"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Por otra parte, también se fortalecen el SIMCO (administrado por la UPME), el SIGM o Anna Minería (administrado por la ANM) y el Banco de Información Minera (BIM), con énfasis en la interoperabilidad entre entidades mineras y ambientales, en cumplimiento de la sentencia Ventanilla Minera.</w:t>
      </w:r>
      <w:r w:rsidRPr="00985B97">
        <w:rPr>
          <w:rFonts w:asciiTheme="majorHAnsi" w:hAnsiTheme="majorHAnsi" w:cstheme="majorHAnsi"/>
        </w:rPr>
        <w:t> </w:t>
      </w:r>
    </w:p>
    <w:p w14:paraId="316640DD" w14:textId="77777777" w:rsidR="00222BBC" w:rsidRPr="00081033" w:rsidRDefault="00222BBC" w:rsidP="00081033">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lang w:val="es-ES"/>
        </w:rPr>
        <w:t>De otra parte, en el caso de este proyecto, el Congreso no es el autor principal, sino el </w:t>
      </w:r>
      <w:proofErr w:type="spellStart"/>
      <w:r w:rsidRPr="00985B97">
        <w:rPr>
          <w:rFonts w:asciiTheme="majorHAnsi" w:hAnsiTheme="majorHAnsi" w:cstheme="majorHAnsi"/>
          <w:lang w:val="es-ES"/>
        </w:rPr>
        <w:t>co-legislador</w:t>
      </w:r>
      <w:proofErr w:type="spellEnd"/>
      <w:r w:rsidRPr="00985B97">
        <w:rPr>
          <w:rFonts w:asciiTheme="majorHAnsi" w:hAnsiTheme="majorHAnsi" w:cstheme="majorHAnsi"/>
          <w:lang w:val="es-ES"/>
        </w:rPr>
        <w:t xml:space="preserve"> que debe debatir, ajustar y aprobar una iniciativa que ya cuenta con el respaldo del </w:t>
      </w:r>
      <w:r w:rsidR="001D4B0A" w:rsidRPr="00985B97">
        <w:rPr>
          <w:rFonts w:asciiTheme="majorHAnsi" w:hAnsiTheme="majorHAnsi" w:cstheme="majorHAnsi"/>
          <w:lang w:val="es-ES"/>
        </w:rPr>
        <w:t>ejecutivo</w:t>
      </w:r>
      <w:r w:rsidRPr="00985B97">
        <w:rPr>
          <w:rFonts w:asciiTheme="majorHAnsi" w:hAnsiTheme="majorHAnsi" w:cstheme="majorHAnsi"/>
          <w:lang w:val="es-ES"/>
        </w:rPr>
        <w:t>. En este caso existe una relación es de colaboración institucional más que de tensión, aunque pueden surgir discrepancias en la Comisión Quinta sobre artículos específicos (como la prohibición del carbón térmico o la contratación directa).</w:t>
      </w:r>
      <w:r w:rsidRPr="00985B97">
        <w:rPr>
          <w:rFonts w:asciiTheme="majorHAnsi" w:hAnsiTheme="majorHAnsi" w:cstheme="majorHAnsi"/>
        </w:rPr>
        <w:t> </w:t>
      </w:r>
    </w:p>
    <w:p w14:paraId="3AD33ECB" w14:textId="77777777" w:rsidR="00655004" w:rsidRPr="00985B97" w:rsidRDefault="527FBCD0" w:rsidP="00A86834">
      <w:pPr>
        <w:pStyle w:val="Ttulo1"/>
      </w:pPr>
      <w:bookmarkStart w:id="232" w:name="_Toc235092589"/>
      <w:bookmarkStart w:id="233" w:name="_Toc235108033"/>
      <w:r w:rsidRPr="00985B97">
        <w:t>Capítulo 3</w:t>
      </w:r>
      <w:r w:rsidR="00B829C8" w:rsidRPr="00985B97">
        <w:t>. Imaginarios frente al relacionamiento ejecutivo-legislativo</w:t>
      </w:r>
      <w:bookmarkEnd w:id="232"/>
      <w:bookmarkEnd w:id="233"/>
    </w:p>
    <w:p w14:paraId="551CC9C9" w14:textId="77777777" w:rsidR="35310928" w:rsidRPr="00985B97" w:rsidRDefault="35310928" w:rsidP="00985B97">
      <w:pPr>
        <w:jc w:val="both"/>
        <w:rPr>
          <w:rFonts w:asciiTheme="majorHAnsi" w:hAnsiTheme="majorHAnsi" w:cstheme="majorHAnsi"/>
        </w:rPr>
      </w:pPr>
      <w:r w:rsidRPr="00985B97">
        <w:rPr>
          <w:rFonts w:asciiTheme="majorHAnsi" w:hAnsiTheme="majorHAnsi" w:cstheme="majorHAnsi"/>
        </w:rPr>
        <w:t>Este capítulo se orienta a identificar y proponer estrategias institucionales que fortalezcan el análisis estratégico legislativo, considerando el marco normativo vigente, las experiencias comparadas y las necesidades específicas de la política de transición energética justa. El propósito es demostrar que, mediante un diseño institucional más sólido, el Ministerio puede mejorar su capacidad de interlocución con el Congreso, reducir los costos de agenciamiento y acelerar la implementación de la política de transición energética justa.</w:t>
      </w:r>
    </w:p>
    <w:p w14:paraId="4C760E44" w14:textId="77777777" w:rsidR="000552A5" w:rsidRPr="00985B97" w:rsidRDefault="00AD77F5" w:rsidP="00985B97">
      <w:pPr>
        <w:pStyle w:val="Ttulo2"/>
        <w:rPr>
          <w:rFonts w:asciiTheme="majorHAnsi" w:hAnsiTheme="majorHAnsi" w:cstheme="majorHAnsi"/>
          <w:sz w:val="22"/>
          <w:szCs w:val="22"/>
        </w:rPr>
      </w:pPr>
      <w:bookmarkStart w:id="234" w:name="_Toc235092590"/>
      <w:bookmarkStart w:id="235" w:name="_Toc235108034"/>
      <w:r w:rsidRPr="00985B97">
        <w:rPr>
          <w:rFonts w:asciiTheme="majorHAnsi" w:hAnsiTheme="majorHAnsi" w:cstheme="majorHAnsi"/>
          <w:sz w:val="22"/>
          <w:szCs w:val="22"/>
        </w:rPr>
        <w:lastRenderedPageBreak/>
        <w:t xml:space="preserve">3.1 </w:t>
      </w:r>
      <w:r w:rsidR="000552A5" w:rsidRPr="00985B97">
        <w:rPr>
          <w:rFonts w:asciiTheme="majorHAnsi" w:hAnsiTheme="majorHAnsi" w:cstheme="majorHAnsi"/>
          <w:sz w:val="22"/>
          <w:szCs w:val="22"/>
        </w:rPr>
        <w:t>Análisis grupo focal del sector minero energético</w:t>
      </w:r>
      <w:bookmarkEnd w:id="234"/>
      <w:bookmarkEnd w:id="235"/>
    </w:p>
    <w:p w14:paraId="680E3645" w14:textId="77777777" w:rsidR="000552A5" w:rsidRPr="00985B97" w:rsidRDefault="00AD77F5" w:rsidP="00985B97">
      <w:pPr>
        <w:pStyle w:val="Ttulo3"/>
        <w:rPr>
          <w:rFonts w:asciiTheme="majorHAnsi" w:hAnsiTheme="majorHAnsi" w:cstheme="majorHAnsi"/>
          <w:sz w:val="22"/>
          <w:szCs w:val="22"/>
        </w:rPr>
      </w:pPr>
      <w:bookmarkStart w:id="236" w:name="_Toc235092591"/>
      <w:bookmarkStart w:id="237" w:name="_Toc235108035"/>
      <w:r w:rsidRPr="00985B97">
        <w:rPr>
          <w:rFonts w:asciiTheme="majorHAnsi" w:hAnsiTheme="majorHAnsi" w:cstheme="majorHAnsi"/>
          <w:sz w:val="22"/>
          <w:szCs w:val="22"/>
        </w:rPr>
        <w:t>3</w:t>
      </w:r>
      <w:r w:rsidR="000552A5" w:rsidRPr="00985B97">
        <w:rPr>
          <w:rFonts w:asciiTheme="majorHAnsi" w:hAnsiTheme="majorHAnsi" w:cstheme="majorHAnsi"/>
          <w:sz w:val="22"/>
          <w:szCs w:val="22"/>
        </w:rPr>
        <w:t>.1. Caracterización de la relación sector minero energético con el Congreso</w:t>
      </w:r>
      <w:bookmarkEnd w:id="236"/>
      <w:bookmarkEnd w:id="237"/>
    </w:p>
    <w:p w14:paraId="0444E0AB" w14:textId="77777777" w:rsidR="000552A5" w:rsidRPr="00985B97" w:rsidRDefault="000552A5"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El grupo focal muestra que la relación entre las entidades del sector minero energético y el Congreso se estructura sobre una lógica fuertemente reactiva, marcada por la “inmediatez” y la presión de solicitudes que se perciben como urgentes y únicas por parte de cada congresista. Esta dinámica genera una tensión organizacional, debido a que los equipos técnicos deben evacuar requerimientos bajo criterios de antigüedad, prioridad política y complejidad temática al mismo tiempo, lo que limita la capacidad de planificación y profundización analítica. A pesar de ello, los participantes resaltan que, en términos interpersonales, la relación se mantiene cordial, apoyada en vínculos informales con equipos de los congresistas y unidades de trabajo legislativo.</w:t>
      </w:r>
    </w:p>
    <w:p w14:paraId="616BAD4D" w14:textId="77777777" w:rsidR="000552A5" w:rsidRPr="00985B97" w:rsidRDefault="000552A5"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Un hallazgo relevante es el desacople entre la demanda de información técnica por parte de los congresistas y su traducción en el debate legislativo. Desde la CREG se observa que las consultas realizadas son altamente técnicas y reflejan interés en el impacto nacional de las medidas del sector de energía y gas, sin embargo, estos insumos no se ven reflejados en las intervenciones ni en la deliberación parlamentaria. Lo anterior muestra que el vínculo actual funciona principalmente como un canal de provisión de información sectorial, más que como una estrategia de incidencia sobre la construcción de posiciones y marcos interpretativos en el Congreso.</w:t>
      </w:r>
    </w:p>
    <w:p w14:paraId="7AE4511D" w14:textId="77777777" w:rsidR="000552A5" w:rsidRPr="00985B97" w:rsidRDefault="00AD77F5" w:rsidP="00985B97">
      <w:pPr>
        <w:pStyle w:val="Ttulo3"/>
        <w:rPr>
          <w:rFonts w:asciiTheme="majorHAnsi" w:hAnsiTheme="majorHAnsi" w:cstheme="majorHAnsi"/>
          <w:sz w:val="22"/>
          <w:szCs w:val="22"/>
        </w:rPr>
      </w:pPr>
      <w:bookmarkStart w:id="238" w:name="_Toc235092592"/>
      <w:bookmarkStart w:id="239" w:name="_Toc235108036"/>
      <w:r w:rsidRPr="00985B97">
        <w:rPr>
          <w:rFonts w:asciiTheme="majorHAnsi" w:hAnsiTheme="majorHAnsi" w:cstheme="majorHAnsi"/>
          <w:sz w:val="22"/>
          <w:szCs w:val="22"/>
        </w:rPr>
        <w:t>3</w:t>
      </w:r>
      <w:r w:rsidR="000552A5" w:rsidRPr="00985B97">
        <w:rPr>
          <w:rFonts w:asciiTheme="majorHAnsi" w:hAnsiTheme="majorHAnsi" w:cstheme="majorHAnsi"/>
          <w:sz w:val="22"/>
          <w:szCs w:val="22"/>
        </w:rPr>
        <w:t>.2. Fragmentación institucional y falta de coherencia discursiva</w:t>
      </w:r>
      <w:bookmarkEnd w:id="238"/>
      <w:bookmarkEnd w:id="239"/>
    </w:p>
    <w:p w14:paraId="2408C630" w14:textId="77777777" w:rsidR="000552A5" w:rsidRPr="00985B97" w:rsidRDefault="000552A5"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Los representantes de las entidades del sector señalan que existen problemas sistemáticos de coordinación </w:t>
      </w:r>
      <w:proofErr w:type="spellStart"/>
      <w:r w:rsidRPr="00985B97">
        <w:rPr>
          <w:rFonts w:asciiTheme="majorHAnsi" w:hAnsiTheme="majorHAnsi" w:cstheme="majorHAnsi"/>
        </w:rPr>
        <w:t>intra</w:t>
      </w:r>
      <w:r w:rsidRPr="00985B97">
        <w:rPr>
          <w:rFonts w:asciiTheme="majorHAnsi" w:hAnsiTheme="majorHAnsi" w:cstheme="majorHAnsi"/>
        </w:rPr>
        <w:noBreakHyphen/>
        <w:t>sectorial</w:t>
      </w:r>
      <w:proofErr w:type="spellEnd"/>
      <w:r w:rsidRPr="00985B97">
        <w:rPr>
          <w:rFonts w:asciiTheme="majorHAnsi" w:hAnsiTheme="majorHAnsi" w:cstheme="majorHAnsi"/>
        </w:rPr>
        <w:t xml:space="preserve"> e intersectorial en el relacionamiento con el Congreso. Las entidades reportan que un mismo congresista suele oficiar sobre temas similares a distintas instituciones del sector minero energético e incluso a entidades del sector ambiental, generando riesgos de respuestas divergentes frente a una misma problemática. En este escenario, la ausencia de mecanismos robustos de articulación entre enlaces legislativos puede llevar a que el Ministerio, las agencias y otras entidades ofrezcan respuestas con tonos y énfasis distintos, afectando la consistencia del mensaje político y, por ende, gubernamental.</w:t>
      </w:r>
    </w:p>
    <w:p w14:paraId="7FA7F4A1" w14:textId="77777777" w:rsidR="000552A5" w:rsidRPr="00985B97" w:rsidRDefault="000552A5"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lastRenderedPageBreak/>
        <w:t xml:space="preserve">Además, se mencionan casos en los que los congresistas utilizan estratégicamente la intersectorialidad (por ejemplo, MinMinas y </w:t>
      </w:r>
      <w:proofErr w:type="spellStart"/>
      <w:r w:rsidRPr="00985B97">
        <w:rPr>
          <w:rFonts w:asciiTheme="majorHAnsi" w:hAnsiTheme="majorHAnsi" w:cstheme="majorHAnsi"/>
        </w:rPr>
        <w:t>MinAgricultura</w:t>
      </w:r>
      <w:proofErr w:type="spellEnd"/>
      <w:r w:rsidRPr="00985B97">
        <w:rPr>
          <w:rFonts w:asciiTheme="majorHAnsi" w:hAnsiTheme="majorHAnsi" w:cstheme="majorHAnsi"/>
        </w:rPr>
        <w:t>) para provocar quiebres en las respuestas institucionales y explotar diferencias de enfoque entre ministerios. Esta situación muestra que existe una debilidad en la construcción de un discurso sectorial unificado y que se requiere configurar una estrategia de coordinación que alinee conceptos, énfasis políticos y posicionamientos públicos antes de la interacción con el Congreso. El caso del proyecto de ley sobre maquinaria amarilla ilustra cómo, ante una iniciativa reiterativa y políticamente sensible, la ANM debe recurrir a MinDefensa y la SAE para intentar construir una postura estatal articulada, lo que muestra que los mecanismos de convergencia se generan más por esfuerzos puntuales que por procedimientos institucionalizados.</w:t>
      </w:r>
    </w:p>
    <w:p w14:paraId="6960B27B" w14:textId="77777777" w:rsidR="000552A5" w:rsidRPr="00985B97" w:rsidRDefault="000552A5" w:rsidP="00985B97">
      <w:pPr>
        <w:pStyle w:val="Ttulo3"/>
        <w:rPr>
          <w:rFonts w:asciiTheme="majorHAnsi" w:hAnsiTheme="majorHAnsi" w:cstheme="majorHAnsi"/>
          <w:sz w:val="22"/>
          <w:szCs w:val="22"/>
        </w:rPr>
      </w:pPr>
      <w:bookmarkStart w:id="240" w:name="_Toc235092593"/>
      <w:bookmarkStart w:id="241" w:name="_Toc235108037"/>
      <w:r w:rsidRPr="00985B97">
        <w:rPr>
          <w:rFonts w:asciiTheme="majorHAnsi" w:hAnsiTheme="majorHAnsi" w:cstheme="majorHAnsi"/>
          <w:sz w:val="22"/>
          <w:szCs w:val="22"/>
        </w:rPr>
        <w:t>3</w:t>
      </w:r>
      <w:r w:rsidR="00AD77F5" w:rsidRPr="00985B97">
        <w:rPr>
          <w:rFonts w:asciiTheme="majorHAnsi" w:hAnsiTheme="majorHAnsi" w:cstheme="majorHAnsi"/>
          <w:sz w:val="22"/>
          <w:szCs w:val="22"/>
        </w:rPr>
        <w:t>.3</w:t>
      </w:r>
      <w:r w:rsidRPr="00985B97">
        <w:rPr>
          <w:rFonts w:asciiTheme="majorHAnsi" w:hAnsiTheme="majorHAnsi" w:cstheme="majorHAnsi"/>
          <w:sz w:val="22"/>
          <w:szCs w:val="22"/>
        </w:rPr>
        <w:t xml:space="preserve"> Prácticas actuales de análisis legislativo: monitoreo sin densidad estratégica</w:t>
      </w:r>
      <w:bookmarkEnd w:id="240"/>
      <w:bookmarkEnd w:id="241"/>
    </w:p>
    <w:p w14:paraId="3DAC0B66" w14:textId="77777777" w:rsidR="000552A5" w:rsidRPr="00985B97" w:rsidRDefault="000552A5"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Las entidades participantes también han desarrollado prácticas de análisis legislativo centradas principalmente en el monitoreo de proyectos y el cumplimiento de requerimientos formales, las cuales han tenido resultados exitosos. La UPME reporta la realización de mapeos semanales de proyectos, acompañados de desgloses generales y conceptos técnicos de expertos en transición energética, con el fin de no ser “tomados fuera de base”. La ANM hace énfasis en la importancia del seguimiento a la radicación de proyectos, sesiones legislativas y proposiciones, así como la respuesta oportuna a derechos de petición y consultas técnicas.</w:t>
      </w:r>
    </w:p>
    <w:p w14:paraId="0C3E256B" w14:textId="77777777" w:rsidR="000552A5" w:rsidRPr="00985B97" w:rsidRDefault="000552A5"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Cabe aclarar que, para el caso de Ecopetrol, la entidad realiza un procedimiento distinto en tanto recurre al apoyo de una firma externa para el seguimiento al Congreso y produce insumos de análisis que se canalizan institucionalmente a través del Ministerio de Minas y Energía, debido a que, entre sus prohibiciones normativas se encuentra la actividad de lobby directo.</w:t>
      </w:r>
    </w:p>
    <w:p w14:paraId="472E39C9" w14:textId="77777777" w:rsidR="000552A5" w:rsidRPr="00985B97" w:rsidRDefault="000552A5"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No obstante, más allá del monitoreo y la respuesta, el desarrollo de capacidades de anticipación es un esfuerzo individual que podría convertirse en una actividad personalista al no traducirse en un ejercicio institucionalizado para cada entidad dentro del sector. La ANM destaca como práctica exitosa la estrategia de informar proactivamente a las bancadas sobre actividades de la entidad en territorio, lo que permite que los congresistas se apropien de esos temas y los utilicen políticamente. Esta experiencia sugiere un potencial para evolucionar hacia un análisis legislativo que no sólo reaccione a la agenda parlamentaria, </w:t>
      </w:r>
      <w:r w:rsidRPr="00985B97">
        <w:rPr>
          <w:rFonts w:asciiTheme="majorHAnsi" w:hAnsiTheme="majorHAnsi" w:cstheme="majorHAnsi"/>
        </w:rPr>
        <w:lastRenderedPageBreak/>
        <w:t>sino que también contribuya a configurar narrativas y alianzas alrededor de la política de transición energética justa. Sin embargo, el carácter aislado de estas iniciativas indica que aún no se integran en una estrategia sectorial coherente.</w:t>
      </w:r>
    </w:p>
    <w:p w14:paraId="536BAB89" w14:textId="77777777" w:rsidR="000552A5" w:rsidRPr="00985B97" w:rsidRDefault="00AD77F5" w:rsidP="00985B97">
      <w:pPr>
        <w:pStyle w:val="Ttulo3"/>
        <w:rPr>
          <w:rFonts w:asciiTheme="majorHAnsi" w:hAnsiTheme="majorHAnsi" w:cstheme="majorHAnsi"/>
          <w:sz w:val="22"/>
          <w:szCs w:val="22"/>
        </w:rPr>
      </w:pPr>
      <w:bookmarkStart w:id="242" w:name="_Toc235092594"/>
      <w:bookmarkStart w:id="243" w:name="_Toc235108038"/>
      <w:r w:rsidRPr="00985B97">
        <w:rPr>
          <w:rFonts w:asciiTheme="majorHAnsi" w:hAnsiTheme="majorHAnsi" w:cstheme="majorHAnsi"/>
          <w:sz w:val="22"/>
          <w:szCs w:val="22"/>
        </w:rPr>
        <w:t>3</w:t>
      </w:r>
      <w:r w:rsidR="000552A5" w:rsidRPr="00985B97">
        <w:rPr>
          <w:rFonts w:asciiTheme="majorHAnsi" w:hAnsiTheme="majorHAnsi" w:cstheme="majorHAnsi"/>
          <w:sz w:val="22"/>
          <w:szCs w:val="22"/>
        </w:rPr>
        <w:t xml:space="preserve">.4 Mecanismos que facilitan la interlocución: contención y </w:t>
      </w:r>
      <w:proofErr w:type="spellStart"/>
      <w:r w:rsidR="000552A5" w:rsidRPr="00985B97">
        <w:rPr>
          <w:rFonts w:asciiTheme="majorHAnsi" w:hAnsiTheme="majorHAnsi" w:cstheme="majorHAnsi"/>
          <w:sz w:val="22"/>
          <w:szCs w:val="22"/>
        </w:rPr>
        <w:t>microgestión</w:t>
      </w:r>
      <w:bookmarkEnd w:id="242"/>
      <w:bookmarkEnd w:id="243"/>
      <w:proofErr w:type="spellEnd"/>
    </w:p>
    <w:p w14:paraId="64A0869A" w14:textId="77777777" w:rsidR="000552A5" w:rsidRPr="00985B97" w:rsidRDefault="000552A5"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Los factores identificados como facilitadores de la interlocución con el Congreso se orientan fundamentalmente a la gestión táctica de la relación. Los actores destacan la importancia de la voluntad política de los congresistas para impulsar proyectos y mantenerlos en movimiento, así como la necesidad de conversaciones fluidas con sus equipos, considerados como actores clave en la tramitación de iniciativas. Las entidades coinciden en que la respuesta rápida a solicitudes de menor complejidad, mediante reuniones virtuales o mesas técnicas es muy efectiva para “aplacar” temas que podrían escalar hacia proposiciones o citaciones a debates de control político.</w:t>
      </w:r>
    </w:p>
    <w:p w14:paraId="7D58A7FF" w14:textId="77777777" w:rsidR="000552A5" w:rsidRPr="00985B97" w:rsidRDefault="000552A5"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Adicionalmente, la CREG resalta la importancia de enviar información y excusas a tiempo, acompañadas de comunicación previa con los congresistas, como señal de que la entidad otorga importancia a los asuntos planteados. Estas prácticas configuran una lógica de </w:t>
      </w:r>
      <w:proofErr w:type="spellStart"/>
      <w:r w:rsidRPr="00985B97">
        <w:rPr>
          <w:rFonts w:asciiTheme="majorHAnsi" w:hAnsiTheme="majorHAnsi" w:cstheme="majorHAnsi"/>
        </w:rPr>
        <w:t>microgestión</w:t>
      </w:r>
      <w:proofErr w:type="spellEnd"/>
      <w:r w:rsidRPr="00985B97">
        <w:rPr>
          <w:rFonts w:asciiTheme="majorHAnsi" w:hAnsiTheme="majorHAnsi" w:cstheme="majorHAnsi"/>
        </w:rPr>
        <w:t xml:space="preserve"> y contención temprana de posibles conflictos legislativos, orientada más a evitar costos políticos y reputacionales que a aprovechar ventanas de oportunidad para consolidar la agenda de transición energética justa. En este sentido, el análisis legislativo existente dentro de las entidades del sector se utiliza principalmente para administrar riesgos y no para maximizar capacidades de incidencia en la agenda legislativa.</w:t>
      </w:r>
    </w:p>
    <w:p w14:paraId="4D31CA9C" w14:textId="77777777" w:rsidR="000552A5" w:rsidRPr="00985B97" w:rsidRDefault="00AD77F5" w:rsidP="00985B97">
      <w:pPr>
        <w:pStyle w:val="Ttulo3"/>
        <w:rPr>
          <w:rFonts w:asciiTheme="majorHAnsi" w:hAnsiTheme="majorHAnsi" w:cstheme="majorHAnsi"/>
          <w:sz w:val="22"/>
          <w:szCs w:val="22"/>
        </w:rPr>
      </w:pPr>
      <w:bookmarkStart w:id="244" w:name="_Toc235092595"/>
      <w:bookmarkStart w:id="245" w:name="_Toc235108039"/>
      <w:r w:rsidRPr="00985B97">
        <w:rPr>
          <w:rFonts w:asciiTheme="majorHAnsi" w:hAnsiTheme="majorHAnsi" w:cstheme="majorHAnsi"/>
          <w:sz w:val="22"/>
          <w:szCs w:val="22"/>
        </w:rPr>
        <w:t>3.</w:t>
      </w:r>
      <w:r w:rsidR="000552A5" w:rsidRPr="00985B97">
        <w:rPr>
          <w:rFonts w:asciiTheme="majorHAnsi" w:hAnsiTheme="majorHAnsi" w:cstheme="majorHAnsi"/>
          <w:sz w:val="22"/>
          <w:szCs w:val="22"/>
        </w:rPr>
        <w:t>5 Recomendaciones para fortalecer la estrategia institucional</w:t>
      </w:r>
      <w:bookmarkEnd w:id="244"/>
      <w:bookmarkEnd w:id="245"/>
    </w:p>
    <w:p w14:paraId="0A36AEF2" w14:textId="77777777" w:rsidR="000552A5" w:rsidRPr="00985B97" w:rsidRDefault="000552A5" w:rsidP="00985B97">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 xml:space="preserve">Las propuestas de los participantes coinciden en la necesidad de evolucionar desde una gestión reactiva hacia una estrategia institucional más estructurada. Los representantes de las organizaciones plantean la necesidad de crear espacios periódicos de diálogo con los congresistas y sus equipos para identificar prioridades en temas del sector y construir líneas de trabajo de largo plazo, así como reuniones de presentación del sector al inicio de cada legislatura, especialmente dirigidas a congresistas nuevos y a secretarios y subsecretarios de las comisiones. Sumado a ello, sugieren segmentar reuniones de </w:t>
      </w:r>
      <w:r w:rsidRPr="00985B97">
        <w:rPr>
          <w:rFonts w:asciiTheme="majorHAnsi" w:hAnsiTheme="majorHAnsi" w:cstheme="majorHAnsi"/>
        </w:rPr>
        <w:lastRenderedPageBreak/>
        <w:t>seguimiento por ejes temáticos (minería, energía, gas) para mantener actualizadas a las entidades sobre la agenda legislativa.</w:t>
      </w:r>
    </w:p>
    <w:p w14:paraId="78A8E7D4" w14:textId="21A837DF" w:rsidR="000552A5" w:rsidRPr="00985B97" w:rsidRDefault="000552A5" w:rsidP="00A86834">
      <w:pPr>
        <w:pBdr>
          <w:top w:val="nil"/>
          <w:left w:val="nil"/>
          <w:bottom w:val="nil"/>
          <w:right w:val="nil"/>
          <w:between w:val="nil"/>
        </w:pBdr>
        <w:spacing w:before="240" w:after="0"/>
        <w:jc w:val="both"/>
        <w:rPr>
          <w:rFonts w:asciiTheme="majorHAnsi" w:hAnsiTheme="majorHAnsi" w:cstheme="majorHAnsi"/>
        </w:rPr>
      </w:pPr>
      <w:r w:rsidRPr="00985B97">
        <w:rPr>
          <w:rFonts w:asciiTheme="majorHAnsi" w:hAnsiTheme="majorHAnsi" w:cstheme="majorHAnsi"/>
        </w:rPr>
        <w:t>En el plano interinstitucional, el grupo focal se centró en la necesidad de consolidar alianzas con otros sectores (</w:t>
      </w:r>
      <w:proofErr w:type="spellStart"/>
      <w:r w:rsidRPr="00985B97">
        <w:rPr>
          <w:rFonts w:asciiTheme="majorHAnsi" w:hAnsiTheme="majorHAnsi" w:cstheme="majorHAnsi"/>
        </w:rPr>
        <w:t>MinAmbiente</w:t>
      </w:r>
      <w:proofErr w:type="spellEnd"/>
      <w:r w:rsidRPr="00985B97">
        <w:rPr>
          <w:rFonts w:asciiTheme="majorHAnsi" w:hAnsiTheme="majorHAnsi" w:cstheme="majorHAnsi"/>
        </w:rPr>
        <w:t xml:space="preserve">, </w:t>
      </w:r>
      <w:proofErr w:type="spellStart"/>
      <w:r w:rsidRPr="00985B97">
        <w:rPr>
          <w:rFonts w:asciiTheme="majorHAnsi" w:hAnsiTheme="majorHAnsi" w:cstheme="majorHAnsi"/>
        </w:rPr>
        <w:t>MinAgricultura</w:t>
      </w:r>
      <w:proofErr w:type="spellEnd"/>
      <w:r w:rsidRPr="00985B97">
        <w:rPr>
          <w:rFonts w:asciiTheme="majorHAnsi" w:hAnsiTheme="majorHAnsi" w:cstheme="majorHAnsi"/>
        </w:rPr>
        <w:t>, ANT) y con entidades territoriales y asociaciones (</w:t>
      </w:r>
      <w:proofErr w:type="spellStart"/>
      <w:r w:rsidRPr="00985B97">
        <w:rPr>
          <w:rFonts w:asciiTheme="majorHAnsi" w:hAnsiTheme="majorHAnsi" w:cstheme="majorHAnsi"/>
        </w:rPr>
        <w:t>Fedemunicipios</w:t>
      </w:r>
      <w:proofErr w:type="spellEnd"/>
      <w:r w:rsidRPr="00985B97">
        <w:rPr>
          <w:rFonts w:asciiTheme="majorHAnsi" w:hAnsiTheme="majorHAnsi" w:cstheme="majorHAnsi"/>
        </w:rPr>
        <w:t xml:space="preserve">, Federación de departamentos, </w:t>
      </w:r>
      <w:proofErr w:type="spellStart"/>
      <w:r w:rsidRPr="00985B97">
        <w:rPr>
          <w:rFonts w:asciiTheme="majorHAnsi" w:hAnsiTheme="majorHAnsi" w:cstheme="majorHAnsi"/>
        </w:rPr>
        <w:t>Asocapitales</w:t>
      </w:r>
      <w:proofErr w:type="spellEnd"/>
      <w:r w:rsidRPr="00985B97">
        <w:rPr>
          <w:rFonts w:asciiTheme="majorHAnsi" w:hAnsiTheme="majorHAnsi" w:cstheme="majorHAnsi"/>
        </w:rPr>
        <w:t>), con el fin de que el sector minero energético pueda presentar una oferta institucional clara y coordinada en espacios regionales, que también inciden en la agenda del Congreso. Estas recomendaciones muestran que los propios actores identifican como déficit crítico la falta de un diseño institucional que articule capacidades técnicas, políticas y territoriales en una estrategia de relacionamiento que acompañe el desarrollo de la transición energética justa.</w:t>
      </w:r>
    </w:p>
    <w:p w14:paraId="02D2B41E" w14:textId="77777777" w:rsidR="003003CA" w:rsidRPr="00985B97" w:rsidRDefault="003003CA" w:rsidP="00A86834">
      <w:pPr>
        <w:pStyle w:val="Ttulo1"/>
      </w:pPr>
      <w:bookmarkStart w:id="246" w:name="_Toc235092596"/>
      <w:bookmarkStart w:id="247" w:name="_Toc235108040"/>
      <w:r w:rsidRPr="00985B97">
        <w:t>Capítulo 4. Propuesta de estrategia institucional de relacionamiento ejecutivo-legislativo</w:t>
      </w:r>
      <w:bookmarkEnd w:id="246"/>
      <w:bookmarkEnd w:id="247"/>
    </w:p>
    <w:p w14:paraId="68549F5D" w14:textId="77777777" w:rsidR="000552A5" w:rsidRPr="00985B97" w:rsidRDefault="001C2B56" w:rsidP="00985B97">
      <w:pPr>
        <w:jc w:val="both"/>
        <w:rPr>
          <w:rFonts w:asciiTheme="majorHAnsi" w:hAnsiTheme="majorHAnsi" w:cstheme="majorHAnsi"/>
        </w:rPr>
      </w:pPr>
      <w:r w:rsidRPr="00985B97">
        <w:rPr>
          <w:rFonts w:asciiTheme="majorHAnsi" w:hAnsiTheme="majorHAnsi" w:cstheme="majorHAnsi"/>
        </w:rPr>
        <w:t xml:space="preserve">Este capítulo está orientado a la creación de una </w:t>
      </w:r>
      <w:r w:rsidR="003C35D3" w:rsidRPr="00985B97">
        <w:rPr>
          <w:rFonts w:asciiTheme="majorHAnsi" w:hAnsiTheme="majorHAnsi" w:cstheme="majorHAnsi"/>
        </w:rPr>
        <w:t>propuesta de lineamientos necesarios para</w:t>
      </w:r>
      <w:r w:rsidRPr="00985B97">
        <w:rPr>
          <w:rFonts w:asciiTheme="majorHAnsi" w:hAnsiTheme="majorHAnsi" w:cstheme="majorHAnsi"/>
        </w:rPr>
        <w:t xml:space="preserve"> </w:t>
      </w:r>
      <w:r w:rsidR="003C35D3" w:rsidRPr="00985B97">
        <w:rPr>
          <w:rFonts w:asciiTheme="majorHAnsi" w:hAnsiTheme="majorHAnsi" w:cstheme="majorHAnsi"/>
        </w:rPr>
        <w:t>mejorar el</w:t>
      </w:r>
      <w:r w:rsidRPr="00985B97">
        <w:rPr>
          <w:rFonts w:asciiTheme="majorHAnsi" w:hAnsiTheme="majorHAnsi" w:cstheme="majorHAnsi"/>
        </w:rPr>
        <w:t xml:space="preserve"> relacionamiento entre el ejecutivo y el legislativo, de cara al sector minero-energético, que permita fortalecer la coherencia y la densidad del análisis estratégico legislativo, mejorar la articulación con el Congreso y contribuir a acelerar el desarrollo de la política de transición energética justa</w:t>
      </w:r>
      <w:r w:rsidR="003C35D3" w:rsidRPr="00985B97">
        <w:rPr>
          <w:rFonts w:asciiTheme="majorHAnsi" w:hAnsiTheme="majorHAnsi" w:cstheme="majorHAnsi"/>
        </w:rPr>
        <w:t>, teniendo en cuenta los hallazgos identificados a lo largo de las etapas de esta investigación</w:t>
      </w:r>
    </w:p>
    <w:p w14:paraId="1172A309" w14:textId="77777777" w:rsidR="40ED3EE8" w:rsidRPr="00985B97" w:rsidRDefault="40ED3EE8" w:rsidP="00A86834">
      <w:pPr>
        <w:pStyle w:val="Ttulo1"/>
      </w:pPr>
      <w:bookmarkStart w:id="248" w:name="_Toc235092597"/>
      <w:bookmarkStart w:id="249" w:name="_Toc235108041"/>
      <w:r w:rsidRPr="00985B97">
        <w:t>Referencias</w:t>
      </w:r>
      <w:bookmarkEnd w:id="248"/>
      <w:bookmarkEnd w:id="249"/>
    </w:p>
    <w:p w14:paraId="75E53821" w14:textId="77777777" w:rsidR="50A2AFEA" w:rsidRPr="00985B97" w:rsidRDefault="50A2AFEA" w:rsidP="00985B97">
      <w:pPr>
        <w:jc w:val="both"/>
        <w:rPr>
          <w:rFonts w:asciiTheme="majorHAnsi" w:hAnsiTheme="majorHAnsi" w:cstheme="majorHAnsi"/>
        </w:rPr>
      </w:pPr>
      <w:proofErr w:type="spellStart"/>
      <w:r w:rsidRPr="00985B97">
        <w:rPr>
          <w:rFonts w:asciiTheme="majorHAnsi" w:hAnsiTheme="majorHAnsi" w:cstheme="majorHAnsi"/>
        </w:rPr>
        <w:t>Alzate</w:t>
      </w:r>
      <w:proofErr w:type="spellEnd"/>
      <w:r w:rsidRPr="00985B97">
        <w:rPr>
          <w:rFonts w:asciiTheme="majorHAnsi" w:hAnsiTheme="majorHAnsi" w:cstheme="majorHAnsi"/>
        </w:rPr>
        <w:t xml:space="preserve">, M. y Romo, G. (2017). La agenda pública en sus teorías y aproximaciones metodológicas. Una clasificación alternativa. Revista Enfoques: Ciencia Política y Administración Pública (15) 26, 13-35. </w:t>
      </w:r>
    </w:p>
    <w:p w14:paraId="75A73C1A"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rPr>
        <w:t xml:space="preserve">Arias, X. y Caballero, G. (2003). Instituciones, costos de transacción y políticas públicas: un panorama. Revista de Economía Institucional, 5(8): 117-146. ISSN 0124-5996. Disponible en: https://www.investigo.biblioteca.uvigo.es/xmlui/bitstream/handle/11093/7573/2003_caballero_instituciones_costos.pdf?sequence=4&amp;isAllowed=y  </w:t>
      </w:r>
    </w:p>
    <w:p w14:paraId="2BB9A3DD"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rPr>
        <w:lastRenderedPageBreak/>
        <w:t xml:space="preserve">Barbosa, O. (2026). Relaciones intergubernamentales en Colombia, en: Cuadernos de administración. Universidad del Valle, No. 36-37, pp. 187 – 221. Disponible en: https://bibliotecadigital.univalle.edu.co/entities/publication/06291c0f-3b09-434b-a7c0-3449e43b575f </w:t>
      </w:r>
    </w:p>
    <w:p w14:paraId="0BD016DA" w14:textId="77777777" w:rsidR="006255C9" w:rsidRPr="00985B97" w:rsidRDefault="006255C9" w:rsidP="00985B97">
      <w:pPr>
        <w:pBdr>
          <w:top w:val="nil"/>
          <w:left w:val="nil"/>
          <w:bottom w:val="nil"/>
          <w:right w:val="nil"/>
          <w:between w:val="nil"/>
        </w:pBdr>
        <w:spacing w:before="240" w:after="0"/>
        <w:jc w:val="both"/>
        <w:rPr>
          <w:rFonts w:asciiTheme="majorHAnsi" w:hAnsiTheme="majorHAnsi" w:cstheme="majorHAnsi"/>
          <w:color w:val="000000" w:themeColor="text1"/>
        </w:rPr>
      </w:pPr>
      <w:proofErr w:type="spellStart"/>
      <w:r w:rsidRPr="00985B97">
        <w:rPr>
          <w:rFonts w:asciiTheme="majorHAnsi" w:hAnsiTheme="majorHAnsi" w:cstheme="majorHAnsi"/>
          <w:color w:val="000000" w:themeColor="text1"/>
        </w:rPr>
        <w:t>Bertranou</w:t>
      </w:r>
      <w:proofErr w:type="spellEnd"/>
      <w:r w:rsidRPr="00985B97">
        <w:rPr>
          <w:rFonts w:asciiTheme="majorHAnsi" w:hAnsiTheme="majorHAnsi" w:cstheme="majorHAnsi"/>
          <w:color w:val="000000" w:themeColor="text1"/>
        </w:rPr>
        <w:t xml:space="preserve">, J. (2015). Capacidad estatal: Revisión del concepto y algunos ejes de análisis y debate. Revista Estado y Políticas Públicas, (4), 37-59. </w:t>
      </w:r>
    </w:p>
    <w:p w14:paraId="49095A33" w14:textId="77777777" w:rsidR="006255C9" w:rsidRPr="00985B97" w:rsidRDefault="006255C9" w:rsidP="00985B97">
      <w:pPr>
        <w:pBdr>
          <w:top w:val="nil"/>
          <w:left w:val="nil"/>
          <w:bottom w:val="nil"/>
          <w:right w:val="nil"/>
          <w:between w:val="nil"/>
        </w:pBdr>
        <w:spacing w:before="240" w:after="0"/>
        <w:jc w:val="both"/>
        <w:rPr>
          <w:rFonts w:asciiTheme="majorHAnsi" w:hAnsiTheme="majorHAnsi" w:cstheme="majorHAnsi"/>
          <w:color w:val="000000" w:themeColor="text1"/>
        </w:rPr>
      </w:pPr>
      <w:r w:rsidRPr="00985B97">
        <w:rPr>
          <w:rFonts w:asciiTheme="majorHAnsi" w:hAnsiTheme="majorHAnsi" w:cstheme="majorHAnsi"/>
          <w:color w:val="000000" w:themeColor="text1"/>
        </w:rPr>
        <w:t xml:space="preserve">Bloomberg Línea. (2024, junio 18). Nuevo revolcón ministerial: Los 15 cambios de ministros que ha hecho Petro en 22 meses. https://www.bloomberglinea.com/latinoamerica/colombia/nuevo-revolcon-ministerial-los-15-cambios-de-ministros-que-ha-hecho-petro-en-22-meses/ </w:t>
      </w:r>
    </w:p>
    <w:p w14:paraId="06D6286E" w14:textId="77777777" w:rsidR="006255C9" w:rsidRPr="00985B97" w:rsidRDefault="006255C9" w:rsidP="00985B97">
      <w:pPr>
        <w:pBdr>
          <w:top w:val="nil"/>
          <w:left w:val="nil"/>
          <w:bottom w:val="nil"/>
          <w:right w:val="nil"/>
          <w:between w:val="nil"/>
        </w:pBdr>
        <w:spacing w:before="240" w:after="0"/>
        <w:jc w:val="both"/>
        <w:rPr>
          <w:rFonts w:asciiTheme="majorHAnsi" w:hAnsiTheme="majorHAnsi" w:cstheme="majorHAnsi"/>
          <w:color w:val="000000" w:themeColor="text1"/>
        </w:rPr>
      </w:pPr>
      <w:r w:rsidRPr="00985B97">
        <w:rPr>
          <w:rFonts w:asciiTheme="majorHAnsi" w:hAnsiTheme="majorHAnsi" w:cstheme="majorHAnsi"/>
          <w:color w:val="000000" w:themeColor="text1"/>
        </w:rPr>
        <w:t xml:space="preserve">CEPAL. (2024). Perspectivas del comercio internacional de América Latina y el Caribe. Naciones Unidas. </w:t>
      </w:r>
    </w:p>
    <w:p w14:paraId="60D9A587" w14:textId="77777777" w:rsidR="006255C9" w:rsidRPr="00985B97" w:rsidRDefault="006255C9" w:rsidP="00985B97">
      <w:pPr>
        <w:pBdr>
          <w:top w:val="nil"/>
          <w:left w:val="nil"/>
          <w:bottom w:val="nil"/>
          <w:right w:val="nil"/>
          <w:between w:val="nil"/>
        </w:pBdr>
        <w:spacing w:before="240" w:after="0"/>
        <w:jc w:val="both"/>
        <w:rPr>
          <w:rFonts w:asciiTheme="majorHAnsi" w:hAnsiTheme="majorHAnsi" w:cstheme="majorHAnsi"/>
          <w:color w:val="000000" w:themeColor="text1"/>
        </w:rPr>
      </w:pPr>
      <w:r w:rsidRPr="00985B97">
        <w:rPr>
          <w:rFonts w:asciiTheme="majorHAnsi" w:hAnsiTheme="majorHAnsi" w:cstheme="majorHAnsi"/>
          <w:color w:val="000000" w:themeColor="text1"/>
        </w:rPr>
        <w:t xml:space="preserve">CNN en </w:t>
      </w:r>
      <w:proofErr w:type="gramStart"/>
      <w:r w:rsidRPr="00985B97">
        <w:rPr>
          <w:rFonts w:asciiTheme="majorHAnsi" w:hAnsiTheme="majorHAnsi" w:cstheme="majorHAnsi"/>
          <w:color w:val="000000" w:themeColor="text1"/>
        </w:rPr>
        <w:t>Español</w:t>
      </w:r>
      <w:proofErr w:type="gramEnd"/>
      <w:r w:rsidRPr="00985B97">
        <w:rPr>
          <w:rFonts w:asciiTheme="majorHAnsi" w:hAnsiTheme="majorHAnsi" w:cstheme="majorHAnsi"/>
          <w:color w:val="000000" w:themeColor="text1"/>
        </w:rPr>
        <w:t xml:space="preserve">. (2023, abril 26). Cómo se llegó a la ruptura entre Petro y su coalición en Colombia. https://cnnespanol.cnn.com/2023/04/26/como-se-llego-ruptura-petro-coalicion-colombia/ </w:t>
      </w:r>
    </w:p>
    <w:p w14:paraId="18B01445" w14:textId="77777777" w:rsidR="006E1E21" w:rsidRPr="00985B97" w:rsidRDefault="006E1E21" w:rsidP="00985B97">
      <w:pPr>
        <w:spacing w:before="240"/>
        <w:jc w:val="both"/>
        <w:rPr>
          <w:rFonts w:asciiTheme="majorHAnsi" w:hAnsiTheme="majorHAnsi" w:cstheme="majorHAnsi"/>
        </w:rPr>
      </w:pPr>
      <w:proofErr w:type="spellStart"/>
      <w:r w:rsidRPr="00985B97">
        <w:rPr>
          <w:rFonts w:asciiTheme="majorHAnsi" w:hAnsiTheme="majorHAnsi" w:cstheme="majorHAnsi"/>
        </w:rPr>
        <w:t>Constituição</w:t>
      </w:r>
      <w:proofErr w:type="spellEnd"/>
      <w:r w:rsidRPr="00985B97">
        <w:rPr>
          <w:rFonts w:asciiTheme="majorHAnsi" w:hAnsiTheme="majorHAnsi" w:cstheme="majorHAnsi"/>
        </w:rPr>
        <w:t xml:space="preserve"> da República Federativa do Brasil. (1988). https://www.planalto.gov.br/ccivil_03/constituicao/constituicao.htm </w:t>
      </w:r>
    </w:p>
    <w:p w14:paraId="360667F2"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rPr>
        <w:t>Delgado-</w:t>
      </w:r>
      <w:proofErr w:type="spellStart"/>
      <w:r w:rsidRPr="00985B97">
        <w:rPr>
          <w:rFonts w:asciiTheme="majorHAnsi" w:hAnsiTheme="majorHAnsi" w:cstheme="majorHAnsi"/>
        </w:rPr>
        <w:t>Guembes</w:t>
      </w:r>
      <w:proofErr w:type="spellEnd"/>
      <w:r w:rsidRPr="00985B97">
        <w:rPr>
          <w:rFonts w:asciiTheme="majorHAnsi" w:hAnsiTheme="majorHAnsi" w:cstheme="majorHAnsi"/>
        </w:rPr>
        <w:t xml:space="preserve">, C. (2020). La agenda legislativa como concepto y herramienta de planeamiento, dirección y gestión estratégica del proceso legislativo [Ensayo]. Disponible en: https://cdelgadoguembes.com/wp-content/uploads/2020/05/La-Agenda-Legislativa-como-concepto-y-herramienta-de-gestion-estrategica-del-proceso-legislativo.pdf  </w:t>
      </w:r>
    </w:p>
    <w:p w14:paraId="2ECE7054"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rPr>
        <w:t xml:space="preserve">Departamento Nacional de Planeación (DNP). (S. f.). Recomendaciones para la inclusión de metas minero-energéticas para la transición energética justa en los planes de desarrollo territoriales. Disponible en: https://portalterritorial.dnp.gov.co/assets/documentosfase3/Minminas%20y%20Energ%C3%ADa-%20Recomendacionesen%20PDT.pdf  </w:t>
      </w:r>
    </w:p>
    <w:p w14:paraId="40B80FF2" w14:textId="77777777" w:rsidR="006255C9" w:rsidRPr="00985B97" w:rsidRDefault="006255C9" w:rsidP="00985B97">
      <w:pPr>
        <w:pBdr>
          <w:top w:val="nil"/>
          <w:left w:val="nil"/>
          <w:bottom w:val="nil"/>
          <w:right w:val="nil"/>
          <w:between w:val="nil"/>
        </w:pBdr>
        <w:spacing w:before="240"/>
        <w:jc w:val="both"/>
        <w:rPr>
          <w:rFonts w:asciiTheme="majorHAnsi" w:hAnsiTheme="majorHAnsi" w:cstheme="majorHAnsi"/>
          <w:color w:val="000000" w:themeColor="text1"/>
        </w:rPr>
      </w:pPr>
      <w:r w:rsidRPr="00985B97">
        <w:rPr>
          <w:rFonts w:asciiTheme="majorHAnsi" w:hAnsiTheme="majorHAnsi" w:cstheme="majorHAnsi"/>
          <w:color w:val="000000" w:themeColor="text1"/>
        </w:rPr>
        <w:t xml:space="preserve">Figueiredo, A. C., &amp; </w:t>
      </w:r>
      <w:proofErr w:type="spellStart"/>
      <w:r w:rsidRPr="00985B97">
        <w:rPr>
          <w:rFonts w:asciiTheme="majorHAnsi" w:hAnsiTheme="majorHAnsi" w:cstheme="majorHAnsi"/>
          <w:color w:val="000000" w:themeColor="text1"/>
        </w:rPr>
        <w:t>Limongi</w:t>
      </w:r>
      <w:proofErr w:type="spellEnd"/>
      <w:r w:rsidRPr="00985B97">
        <w:rPr>
          <w:rFonts w:asciiTheme="majorHAnsi" w:hAnsiTheme="majorHAnsi" w:cstheme="majorHAnsi"/>
          <w:color w:val="000000" w:themeColor="text1"/>
        </w:rPr>
        <w:t xml:space="preserve">, F. (2001). Executivo e </w:t>
      </w:r>
      <w:r w:rsidR="001D4B0A" w:rsidRPr="00985B97">
        <w:rPr>
          <w:rFonts w:asciiTheme="majorHAnsi" w:hAnsiTheme="majorHAnsi" w:cstheme="majorHAnsi"/>
          <w:color w:val="000000" w:themeColor="text1"/>
        </w:rPr>
        <w:t>legislativo</w:t>
      </w:r>
      <w:r w:rsidRPr="00985B97">
        <w:rPr>
          <w:rFonts w:asciiTheme="majorHAnsi" w:hAnsiTheme="majorHAnsi" w:cstheme="majorHAnsi"/>
          <w:color w:val="000000" w:themeColor="text1"/>
        </w:rPr>
        <w:t xml:space="preserve"> </w:t>
      </w:r>
      <w:proofErr w:type="spellStart"/>
      <w:r w:rsidRPr="00985B97">
        <w:rPr>
          <w:rFonts w:asciiTheme="majorHAnsi" w:hAnsiTheme="majorHAnsi" w:cstheme="majorHAnsi"/>
          <w:color w:val="000000" w:themeColor="text1"/>
        </w:rPr>
        <w:t>na</w:t>
      </w:r>
      <w:proofErr w:type="spellEnd"/>
      <w:r w:rsidRPr="00985B97">
        <w:rPr>
          <w:rFonts w:asciiTheme="majorHAnsi" w:hAnsiTheme="majorHAnsi" w:cstheme="majorHAnsi"/>
          <w:color w:val="000000" w:themeColor="text1"/>
        </w:rPr>
        <w:t xml:space="preserve"> nova </w:t>
      </w:r>
      <w:proofErr w:type="spellStart"/>
      <w:r w:rsidRPr="00985B97">
        <w:rPr>
          <w:rFonts w:asciiTheme="majorHAnsi" w:hAnsiTheme="majorHAnsi" w:cstheme="majorHAnsi"/>
          <w:color w:val="000000" w:themeColor="text1"/>
        </w:rPr>
        <w:t>ordem</w:t>
      </w:r>
      <w:proofErr w:type="spellEnd"/>
      <w:r w:rsidRPr="00985B97">
        <w:rPr>
          <w:rFonts w:asciiTheme="majorHAnsi" w:hAnsiTheme="majorHAnsi" w:cstheme="majorHAnsi"/>
          <w:color w:val="000000" w:themeColor="text1"/>
        </w:rPr>
        <w:t xml:space="preserve"> constitucional (2.ª ed.). FGV Editora. </w:t>
      </w:r>
    </w:p>
    <w:p w14:paraId="7048910D" w14:textId="77777777" w:rsidR="006255C9" w:rsidRPr="00985B97" w:rsidRDefault="006255C9" w:rsidP="00985B97">
      <w:pPr>
        <w:pBdr>
          <w:top w:val="nil"/>
          <w:left w:val="nil"/>
          <w:bottom w:val="nil"/>
          <w:right w:val="nil"/>
          <w:between w:val="nil"/>
        </w:pBdr>
        <w:jc w:val="both"/>
        <w:rPr>
          <w:rFonts w:asciiTheme="majorHAnsi" w:hAnsiTheme="majorHAnsi" w:cstheme="majorHAnsi"/>
          <w:color w:val="000000" w:themeColor="text1"/>
          <w:lang w:val="en-US"/>
        </w:rPr>
      </w:pPr>
      <w:r w:rsidRPr="00985B97">
        <w:rPr>
          <w:rFonts w:asciiTheme="majorHAnsi" w:hAnsiTheme="majorHAnsi" w:cstheme="majorHAnsi"/>
          <w:color w:val="000000" w:themeColor="text1"/>
        </w:rPr>
        <w:t xml:space="preserve">Figueiredo, A. C., &amp; </w:t>
      </w:r>
      <w:proofErr w:type="spellStart"/>
      <w:r w:rsidRPr="00985B97">
        <w:rPr>
          <w:rFonts w:asciiTheme="majorHAnsi" w:hAnsiTheme="majorHAnsi" w:cstheme="majorHAnsi"/>
          <w:color w:val="000000" w:themeColor="text1"/>
        </w:rPr>
        <w:t>Limongi</w:t>
      </w:r>
      <w:proofErr w:type="spellEnd"/>
      <w:r w:rsidRPr="00985B97">
        <w:rPr>
          <w:rFonts w:asciiTheme="majorHAnsi" w:hAnsiTheme="majorHAnsi" w:cstheme="majorHAnsi"/>
          <w:color w:val="000000" w:themeColor="text1"/>
        </w:rPr>
        <w:t xml:space="preserve">, F. (2010). Política </w:t>
      </w:r>
      <w:proofErr w:type="spellStart"/>
      <w:r w:rsidRPr="00985B97">
        <w:rPr>
          <w:rFonts w:asciiTheme="majorHAnsi" w:hAnsiTheme="majorHAnsi" w:cstheme="majorHAnsi"/>
          <w:color w:val="000000" w:themeColor="text1"/>
        </w:rPr>
        <w:t>orçamentária</w:t>
      </w:r>
      <w:proofErr w:type="spellEnd"/>
      <w:r w:rsidRPr="00985B97">
        <w:rPr>
          <w:rFonts w:asciiTheme="majorHAnsi" w:hAnsiTheme="majorHAnsi" w:cstheme="majorHAnsi"/>
          <w:color w:val="000000" w:themeColor="text1"/>
        </w:rPr>
        <w:t xml:space="preserve"> no presidencialismo de </w:t>
      </w:r>
      <w:proofErr w:type="spellStart"/>
      <w:r w:rsidRPr="00985B97">
        <w:rPr>
          <w:rFonts w:asciiTheme="majorHAnsi" w:hAnsiTheme="majorHAnsi" w:cstheme="majorHAnsi"/>
          <w:color w:val="000000" w:themeColor="text1"/>
        </w:rPr>
        <w:t>coalizão</w:t>
      </w:r>
      <w:proofErr w:type="spellEnd"/>
      <w:r w:rsidRPr="00985B97">
        <w:rPr>
          <w:rFonts w:asciiTheme="majorHAnsi" w:hAnsiTheme="majorHAnsi" w:cstheme="majorHAnsi"/>
          <w:color w:val="000000" w:themeColor="text1"/>
        </w:rPr>
        <w:t xml:space="preserve">. </w:t>
      </w:r>
      <w:r w:rsidRPr="00985B97">
        <w:rPr>
          <w:rFonts w:asciiTheme="majorHAnsi" w:hAnsiTheme="majorHAnsi" w:cstheme="majorHAnsi"/>
          <w:color w:val="000000" w:themeColor="text1"/>
          <w:lang w:val="en-US"/>
        </w:rPr>
        <w:t xml:space="preserve">FGV </w:t>
      </w:r>
      <w:proofErr w:type="spellStart"/>
      <w:r w:rsidRPr="00985B97">
        <w:rPr>
          <w:rFonts w:asciiTheme="majorHAnsi" w:hAnsiTheme="majorHAnsi" w:cstheme="majorHAnsi"/>
          <w:color w:val="000000" w:themeColor="text1"/>
          <w:lang w:val="en-US"/>
        </w:rPr>
        <w:t>Editora</w:t>
      </w:r>
      <w:proofErr w:type="spellEnd"/>
      <w:r w:rsidRPr="00985B97">
        <w:rPr>
          <w:rFonts w:asciiTheme="majorHAnsi" w:hAnsiTheme="majorHAnsi" w:cstheme="majorHAnsi"/>
          <w:color w:val="000000" w:themeColor="text1"/>
          <w:lang w:val="en-US"/>
        </w:rPr>
        <w:t xml:space="preserve">. </w:t>
      </w:r>
    </w:p>
    <w:p w14:paraId="2AF18D45" w14:textId="77777777" w:rsidR="50A2AFEA" w:rsidRPr="00985B97" w:rsidRDefault="50A2AFEA" w:rsidP="00985B97">
      <w:pPr>
        <w:jc w:val="both"/>
        <w:rPr>
          <w:rFonts w:asciiTheme="majorHAnsi" w:hAnsiTheme="majorHAnsi" w:cstheme="majorHAnsi"/>
          <w:lang w:val="en-US"/>
        </w:rPr>
      </w:pPr>
      <w:r w:rsidRPr="00985B97">
        <w:rPr>
          <w:rFonts w:asciiTheme="majorHAnsi" w:hAnsiTheme="majorHAnsi" w:cstheme="majorHAnsi"/>
          <w:lang w:val="en-US"/>
        </w:rPr>
        <w:lastRenderedPageBreak/>
        <w:t xml:space="preserve">Jenkins, William A. (1978). Policy Analysis: A Political and </w:t>
      </w:r>
      <w:proofErr w:type="spellStart"/>
      <w:r w:rsidRPr="00985B97">
        <w:rPr>
          <w:rFonts w:asciiTheme="majorHAnsi" w:hAnsiTheme="majorHAnsi" w:cstheme="majorHAnsi"/>
          <w:lang w:val="en-US"/>
        </w:rPr>
        <w:t>Organisational</w:t>
      </w:r>
      <w:proofErr w:type="spellEnd"/>
      <w:r w:rsidRPr="00985B97">
        <w:rPr>
          <w:rFonts w:asciiTheme="majorHAnsi" w:hAnsiTheme="majorHAnsi" w:cstheme="majorHAnsi"/>
          <w:lang w:val="en-US"/>
        </w:rPr>
        <w:t xml:space="preserve"> Perspective. </w:t>
      </w:r>
      <w:proofErr w:type="spellStart"/>
      <w:r w:rsidRPr="00985B97">
        <w:rPr>
          <w:rFonts w:asciiTheme="majorHAnsi" w:hAnsiTheme="majorHAnsi" w:cstheme="majorHAnsi"/>
          <w:lang w:val="en-US"/>
        </w:rPr>
        <w:t>Londres</w:t>
      </w:r>
      <w:proofErr w:type="spellEnd"/>
      <w:r w:rsidRPr="00985B97">
        <w:rPr>
          <w:rFonts w:asciiTheme="majorHAnsi" w:hAnsiTheme="majorHAnsi" w:cstheme="majorHAnsi"/>
          <w:lang w:val="en-US"/>
        </w:rPr>
        <w:t xml:space="preserve">: Hutchinson &amp; Co. </w:t>
      </w:r>
    </w:p>
    <w:p w14:paraId="0FC55920" w14:textId="77777777" w:rsidR="006E1E21" w:rsidRPr="00985B97" w:rsidRDefault="006E1E21" w:rsidP="00985B97">
      <w:pPr>
        <w:jc w:val="both"/>
        <w:rPr>
          <w:rFonts w:asciiTheme="majorHAnsi" w:hAnsiTheme="majorHAnsi" w:cstheme="majorHAnsi"/>
          <w:lang w:val="en-US"/>
        </w:rPr>
      </w:pPr>
      <w:r w:rsidRPr="00985B97">
        <w:rPr>
          <w:rFonts w:asciiTheme="majorHAnsi" w:hAnsiTheme="majorHAnsi" w:cstheme="majorHAnsi"/>
          <w:lang w:val="en-US"/>
        </w:rPr>
        <w:t xml:space="preserve">Jensen, M. C., &amp; </w:t>
      </w:r>
      <w:proofErr w:type="spellStart"/>
      <w:r w:rsidRPr="00985B97">
        <w:rPr>
          <w:rFonts w:asciiTheme="majorHAnsi" w:hAnsiTheme="majorHAnsi" w:cstheme="majorHAnsi"/>
          <w:lang w:val="en-US"/>
        </w:rPr>
        <w:t>Meckling</w:t>
      </w:r>
      <w:proofErr w:type="spellEnd"/>
      <w:r w:rsidRPr="00985B97">
        <w:rPr>
          <w:rFonts w:asciiTheme="majorHAnsi" w:hAnsiTheme="majorHAnsi" w:cstheme="majorHAnsi"/>
          <w:lang w:val="en-US"/>
        </w:rPr>
        <w:t>, W. H. (1976). Theory of the firm: Managerial behavior, agency costs and ownership structure. Journal of Financial Economics, 3(4), 305-360. DOI: 10.1016/0304-405</w:t>
      </w:r>
      <w:proofErr w:type="gramStart"/>
      <w:r w:rsidRPr="00985B97">
        <w:rPr>
          <w:rFonts w:asciiTheme="majorHAnsi" w:hAnsiTheme="majorHAnsi" w:cstheme="majorHAnsi"/>
          <w:lang w:val="en-US"/>
        </w:rPr>
        <w:t>X(</w:t>
      </w:r>
      <w:proofErr w:type="gramEnd"/>
      <w:r w:rsidRPr="00985B97">
        <w:rPr>
          <w:rFonts w:asciiTheme="majorHAnsi" w:hAnsiTheme="majorHAnsi" w:cstheme="majorHAnsi"/>
          <w:lang w:val="en-US"/>
        </w:rPr>
        <w:t xml:space="preserve">76)90026-X. </w:t>
      </w:r>
    </w:p>
    <w:p w14:paraId="20F8D7ED"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lang w:val="en-US"/>
        </w:rPr>
        <w:t xml:space="preserve">Juárez, M. A. (2023). </w:t>
      </w:r>
      <w:r w:rsidRPr="00985B97">
        <w:rPr>
          <w:rFonts w:asciiTheme="majorHAnsi" w:hAnsiTheme="majorHAnsi" w:cstheme="majorHAnsi"/>
        </w:rPr>
        <w:t xml:space="preserve">Consideraciones Teóricas-Metodológicas de la Relación </w:t>
      </w:r>
      <w:r w:rsidR="001D4B0A" w:rsidRPr="00985B97">
        <w:rPr>
          <w:rFonts w:asciiTheme="majorHAnsi" w:hAnsiTheme="majorHAnsi" w:cstheme="majorHAnsi"/>
        </w:rPr>
        <w:t>ejecutivo</w:t>
      </w:r>
      <w:r w:rsidRPr="00985B97">
        <w:rPr>
          <w:rFonts w:asciiTheme="majorHAnsi" w:hAnsiTheme="majorHAnsi" w:cstheme="majorHAnsi"/>
        </w:rPr>
        <w:t>-</w:t>
      </w:r>
      <w:r w:rsidR="001D4B0A" w:rsidRPr="00985B97">
        <w:rPr>
          <w:rFonts w:asciiTheme="majorHAnsi" w:hAnsiTheme="majorHAnsi" w:cstheme="majorHAnsi"/>
        </w:rPr>
        <w:t>legislativo</w:t>
      </w:r>
      <w:r w:rsidRPr="00985B97">
        <w:rPr>
          <w:rFonts w:asciiTheme="majorHAnsi" w:hAnsiTheme="majorHAnsi" w:cstheme="majorHAnsi"/>
        </w:rPr>
        <w:t xml:space="preserve"> en un Contexto de Gobierno Dividido. Ciencia Latina Revista Científica Multidisciplinar, 7(4), 2510-2524. https://doi.org/10.37811/cl_rcm.v7i4.7122 </w:t>
      </w:r>
    </w:p>
    <w:p w14:paraId="05805487" w14:textId="77777777" w:rsidR="006255C9" w:rsidRPr="00985B97" w:rsidRDefault="006255C9" w:rsidP="00985B97">
      <w:pPr>
        <w:pBdr>
          <w:top w:val="nil"/>
          <w:left w:val="nil"/>
          <w:bottom w:val="nil"/>
          <w:right w:val="nil"/>
          <w:between w:val="nil"/>
        </w:pBdr>
        <w:spacing w:before="240" w:after="0"/>
        <w:jc w:val="both"/>
        <w:rPr>
          <w:rFonts w:asciiTheme="majorHAnsi" w:hAnsiTheme="majorHAnsi" w:cstheme="majorHAnsi"/>
          <w:color w:val="000000" w:themeColor="text1"/>
        </w:rPr>
      </w:pPr>
      <w:r w:rsidRPr="00985B97">
        <w:rPr>
          <w:rFonts w:asciiTheme="majorHAnsi" w:hAnsiTheme="majorHAnsi" w:cstheme="majorHAnsi"/>
          <w:color w:val="000000" w:themeColor="text1"/>
          <w:lang w:val="en-US"/>
        </w:rPr>
        <w:t xml:space="preserve">IEA – International Energy Agency. (2021). Spain 2021 Energy Policy Review. </w:t>
      </w:r>
      <w:r w:rsidRPr="00985B97">
        <w:rPr>
          <w:rFonts w:asciiTheme="majorHAnsi" w:hAnsiTheme="majorHAnsi" w:cstheme="majorHAnsi"/>
          <w:color w:val="000000" w:themeColor="text1"/>
        </w:rPr>
        <w:t xml:space="preserve">OECD/IEA. </w:t>
      </w:r>
    </w:p>
    <w:p w14:paraId="27375FB7" w14:textId="77777777" w:rsidR="006255C9" w:rsidRPr="00985B97" w:rsidRDefault="006255C9" w:rsidP="00985B97">
      <w:pPr>
        <w:pBdr>
          <w:top w:val="nil"/>
          <w:left w:val="nil"/>
          <w:bottom w:val="nil"/>
          <w:right w:val="nil"/>
          <w:between w:val="nil"/>
        </w:pBdr>
        <w:spacing w:before="240" w:after="0"/>
        <w:jc w:val="both"/>
        <w:rPr>
          <w:rFonts w:asciiTheme="majorHAnsi" w:hAnsiTheme="majorHAnsi" w:cstheme="majorHAnsi"/>
          <w:color w:val="000000" w:themeColor="text1"/>
        </w:rPr>
      </w:pPr>
      <w:r w:rsidRPr="00985B97">
        <w:rPr>
          <w:rFonts w:asciiTheme="majorHAnsi" w:hAnsiTheme="majorHAnsi" w:cstheme="majorHAnsi"/>
          <w:color w:val="000000" w:themeColor="text1"/>
        </w:rPr>
        <w:t xml:space="preserve">IEA – International Energy Agency. (2023). Colombia 2023 Energy </w:t>
      </w:r>
      <w:proofErr w:type="spellStart"/>
      <w:r w:rsidRPr="00985B97">
        <w:rPr>
          <w:rFonts w:asciiTheme="majorHAnsi" w:hAnsiTheme="majorHAnsi" w:cstheme="majorHAnsi"/>
          <w:color w:val="000000" w:themeColor="text1"/>
        </w:rPr>
        <w:t>Policy</w:t>
      </w:r>
      <w:proofErr w:type="spellEnd"/>
      <w:r w:rsidRPr="00985B97">
        <w:rPr>
          <w:rFonts w:asciiTheme="majorHAnsi" w:hAnsiTheme="majorHAnsi" w:cstheme="majorHAnsi"/>
          <w:color w:val="000000" w:themeColor="text1"/>
        </w:rPr>
        <w:t xml:space="preserve"> </w:t>
      </w:r>
      <w:proofErr w:type="spellStart"/>
      <w:r w:rsidRPr="00985B97">
        <w:rPr>
          <w:rFonts w:asciiTheme="majorHAnsi" w:hAnsiTheme="majorHAnsi" w:cstheme="majorHAnsi"/>
          <w:color w:val="000000" w:themeColor="text1"/>
        </w:rPr>
        <w:t>Review</w:t>
      </w:r>
      <w:proofErr w:type="spellEnd"/>
      <w:r w:rsidRPr="00985B97">
        <w:rPr>
          <w:rFonts w:asciiTheme="majorHAnsi" w:hAnsiTheme="majorHAnsi" w:cstheme="majorHAnsi"/>
          <w:color w:val="000000" w:themeColor="text1"/>
        </w:rPr>
        <w:t xml:space="preserve">. OECD/IEA. </w:t>
      </w:r>
    </w:p>
    <w:p w14:paraId="125FAA74" w14:textId="77777777" w:rsidR="006255C9" w:rsidRPr="00985B97" w:rsidRDefault="006255C9" w:rsidP="00985B97">
      <w:pPr>
        <w:pBdr>
          <w:top w:val="nil"/>
          <w:left w:val="nil"/>
          <w:bottom w:val="nil"/>
          <w:right w:val="nil"/>
          <w:between w:val="nil"/>
        </w:pBdr>
        <w:jc w:val="both"/>
        <w:rPr>
          <w:rFonts w:asciiTheme="majorHAnsi" w:hAnsiTheme="majorHAnsi" w:cstheme="majorHAnsi"/>
          <w:color w:val="000000" w:themeColor="text1"/>
        </w:rPr>
      </w:pPr>
      <w:r w:rsidRPr="00985B97">
        <w:rPr>
          <w:rFonts w:asciiTheme="majorHAnsi" w:hAnsiTheme="majorHAnsi" w:cstheme="majorHAnsi"/>
          <w:color w:val="000000" w:themeColor="text1"/>
        </w:rPr>
        <w:t xml:space="preserve">Infobae. (2025, agosto 7). Gustavo Petro impuso marca histórica: Van 57 ministros en sus tres años de gobierno. https://www.infobae.com/colombia/2025/08/07/gustavo-petro-impuso-marca-historica-van-57-ministros-en-sus-tres-anos-de-gobierno/ </w:t>
      </w:r>
    </w:p>
    <w:p w14:paraId="7B1AD5BD" w14:textId="77777777" w:rsidR="50A2AFEA" w:rsidRPr="00985B97" w:rsidRDefault="50A2AFEA" w:rsidP="00985B97">
      <w:pPr>
        <w:jc w:val="both"/>
        <w:rPr>
          <w:rFonts w:asciiTheme="majorHAnsi" w:hAnsiTheme="majorHAnsi" w:cstheme="majorHAnsi"/>
        </w:rPr>
      </w:pPr>
      <w:proofErr w:type="spellStart"/>
      <w:r w:rsidRPr="00985B97">
        <w:rPr>
          <w:rFonts w:asciiTheme="majorHAnsi" w:hAnsiTheme="majorHAnsi" w:cstheme="majorHAnsi"/>
          <w:lang w:val="en-US"/>
        </w:rPr>
        <w:t>Kingdon</w:t>
      </w:r>
      <w:proofErr w:type="spellEnd"/>
      <w:r w:rsidRPr="00985B97">
        <w:rPr>
          <w:rFonts w:asciiTheme="majorHAnsi" w:hAnsiTheme="majorHAnsi" w:cstheme="majorHAnsi"/>
          <w:lang w:val="en-US"/>
        </w:rPr>
        <w:t xml:space="preserve">, John W. (2011). Agendas, Alternatives, and Public Policies (2nd Edition, Longman Classics in Political Science). </w:t>
      </w:r>
      <w:r w:rsidRPr="00985B97">
        <w:rPr>
          <w:rFonts w:asciiTheme="majorHAnsi" w:hAnsiTheme="majorHAnsi" w:cstheme="majorHAnsi"/>
        </w:rPr>
        <w:t xml:space="preserve">Boston: Longman. ISBN: 978-0205000869. </w:t>
      </w:r>
    </w:p>
    <w:p w14:paraId="4F86BD4E" w14:textId="77777777" w:rsidR="006255C9" w:rsidRPr="00985B97" w:rsidRDefault="006255C9" w:rsidP="00985B97">
      <w:pPr>
        <w:pBdr>
          <w:top w:val="nil"/>
          <w:left w:val="nil"/>
          <w:bottom w:val="nil"/>
          <w:right w:val="nil"/>
          <w:between w:val="nil"/>
        </w:pBdr>
        <w:spacing w:before="240"/>
        <w:jc w:val="both"/>
        <w:rPr>
          <w:rFonts w:asciiTheme="majorHAnsi" w:hAnsiTheme="majorHAnsi" w:cstheme="majorHAnsi"/>
          <w:color w:val="000000" w:themeColor="text1"/>
        </w:rPr>
      </w:pPr>
      <w:r w:rsidRPr="00985B97">
        <w:rPr>
          <w:rFonts w:asciiTheme="majorHAnsi" w:hAnsiTheme="majorHAnsi" w:cstheme="majorHAnsi"/>
          <w:color w:val="000000" w:themeColor="text1"/>
        </w:rPr>
        <w:t xml:space="preserve">Liga Contra el Silencio. (2018, agosto 23). El agridulce imperio del Congreso de Colombia. https://ligacontraelsilencio.com/2018/08/23/el-agridulce-imperio-del-congreso-de-colombia/ </w:t>
      </w:r>
    </w:p>
    <w:p w14:paraId="7F1926BC"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rPr>
        <w:t xml:space="preserve">López, G. y Gómez, C. (2011). El control político y judicial del Congreso: una aproximación al caso colombiano. Revista </w:t>
      </w:r>
      <w:proofErr w:type="spellStart"/>
      <w:r w:rsidRPr="00985B97">
        <w:rPr>
          <w:rFonts w:asciiTheme="majorHAnsi" w:hAnsiTheme="majorHAnsi" w:cstheme="majorHAnsi"/>
        </w:rPr>
        <w:t>Pielagus</w:t>
      </w:r>
      <w:proofErr w:type="spellEnd"/>
      <w:r w:rsidRPr="00985B97">
        <w:rPr>
          <w:rFonts w:asciiTheme="majorHAnsi" w:hAnsiTheme="majorHAnsi" w:cstheme="majorHAnsi"/>
        </w:rPr>
        <w:t xml:space="preserve">, Universidad </w:t>
      </w:r>
      <w:proofErr w:type="spellStart"/>
      <w:r w:rsidRPr="00985B97">
        <w:rPr>
          <w:rFonts w:asciiTheme="majorHAnsi" w:hAnsiTheme="majorHAnsi" w:cstheme="majorHAnsi"/>
        </w:rPr>
        <w:t>Surcolombiana</w:t>
      </w:r>
      <w:proofErr w:type="spellEnd"/>
      <w:r w:rsidRPr="00985B97">
        <w:rPr>
          <w:rFonts w:asciiTheme="majorHAnsi" w:hAnsiTheme="majorHAnsi" w:cstheme="majorHAnsi"/>
        </w:rPr>
        <w:t xml:space="preserve">. Revista Jurídica </w:t>
      </w:r>
      <w:proofErr w:type="spellStart"/>
      <w:r w:rsidRPr="00985B97">
        <w:rPr>
          <w:rFonts w:asciiTheme="majorHAnsi" w:hAnsiTheme="majorHAnsi" w:cstheme="majorHAnsi"/>
        </w:rPr>
        <w:t>Piélagus</w:t>
      </w:r>
      <w:proofErr w:type="spellEnd"/>
      <w:r w:rsidRPr="00985B97">
        <w:rPr>
          <w:rFonts w:asciiTheme="majorHAnsi" w:hAnsiTheme="majorHAnsi" w:cstheme="majorHAnsi"/>
        </w:rPr>
        <w:t xml:space="preserve">, 10(1), 158–191. https://doi.org/10.25054/16576799.630  </w:t>
      </w:r>
    </w:p>
    <w:p w14:paraId="02EFEC7E" w14:textId="77777777" w:rsidR="006255C9" w:rsidRPr="00985B97" w:rsidRDefault="006255C9" w:rsidP="00985B97">
      <w:pPr>
        <w:pBdr>
          <w:top w:val="nil"/>
          <w:left w:val="nil"/>
          <w:bottom w:val="nil"/>
          <w:right w:val="nil"/>
          <w:between w:val="nil"/>
        </w:pBdr>
        <w:jc w:val="both"/>
        <w:rPr>
          <w:rFonts w:asciiTheme="majorHAnsi" w:hAnsiTheme="majorHAnsi" w:cstheme="majorHAnsi"/>
          <w:color w:val="000000" w:themeColor="text1"/>
        </w:rPr>
      </w:pPr>
      <w:r w:rsidRPr="00985B97">
        <w:rPr>
          <w:rFonts w:asciiTheme="majorHAnsi" w:hAnsiTheme="majorHAnsi" w:cstheme="majorHAnsi"/>
          <w:color w:val="000000" w:themeColor="text1"/>
          <w:lang w:val="en-US"/>
        </w:rPr>
        <w:t xml:space="preserve">Mainwaring, S. (1993). Presidentialism, </w:t>
      </w:r>
      <w:proofErr w:type="spellStart"/>
      <w:r w:rsidRPr="00985B97">
        <w:rPr>
          <w:rFonts w:asciiTheme="majorHAnsi" w:hAnsiTheme="majorHAnsi" w:cstheme="majorHAnsi"/>
          <w:color w:val="000000" w:themeColor="text1"/>
          <w:lang w:val="en-US"/>
        </w:rPr>
        <w:t>multipartism</w:t>
      </w:r>
      <w:proofErr w:type="spellEnd"/>
      <w:r w:rsidRPr="00985B97">
        <w:rPr>
          <w:rFonts w:asciiTheme="majorHAnsi" w:hAnsiTheme="majorHAnsi" w:cstheme="majorHAnsi"/>
          <w:color w:val="000000" w:themeColor="text1"/>
          <w:lang w:val="en-US"/>
        </w:rPr>
        <w:t xml:space="preserve">, and democracy: The difficult combination. </w:t>
      </w:r>
      <w:r w:rsidRPr="00985B97">
        <w:rPr>
          <w:rFonts w:asciiTheme="majorHAnsi" w:hAnsiTheme="majorHAnsi" w:cstheme="majorHAnsi"/>
          <w:color w:val="000000" w:themeColor="text1"/>
        </w:rPr>
        <w:t xml:space="preserve">Comparative </w:t>
      </w:r>
      <w:proofErr w:type="spellStart"/>
      <w:r w:rsidRPr="00985B97">
        <w:rPr>
          <w:rFonts w:asciiTheme="majorHAnsi" w:hAnsiTheme="majorHAnsi" w:cstheme="majorHAnsi"/>
          <w:color w:val="000000" w:themeColor="text1"/>
        </w:rPr>
        <w:t>Political</w:t>
      </w:r>
      <w:proofErr w:type="spellEnd"/>
      <w:r w:rsidRPr="00985B97">
        <w:rPr>
          <w:rFonts w:asciiTheme="majorHAnsi" w:hAnsiTheme="majorHAnsi" w:cstheme="majorHAnsi"/>
          <w:color w:val="000000" w:themeColor="text1"/>
        </w:rPr>
        <w:t xml:space="preserve"> </w:t>
      </w:r>
      <w:proofErr w:type="spellStart"/>
      <w:r w:rsidRPr="00985B97">
        <w:rPr>
          <w:rFonts w:asciiTheme="majorHAnsi" w:hAnsiTheme="majorHAnsi" w:cstheme="majorHAnsi"/>
          <w:color w:val="000000" w:themeColor="text1"/>
        </w:rPr>
        <w:t>Studies</w:t>
      </w:r>
      <w:proofErr w:type="spellEnd"/>
      <w:r w:rsidRPr="00985B97">
        <w:rPr>
          <w:rFonts w:asciiTheme="majorHAnsi" w:hAnsiTheme="majorHAnsi" w:cstheme="majorHAnsi"/>
          <w:color w:val="000000" w:themeColor="text1"/>
        </w:rPr>
        <w:t xml:space="preserve">, 26(2), 198-228. https://doi.org/10.1177/0010414093026002003 </w:t>
      </w:r>
    </w:p>
    <w:p w14:paraId="49504A5B" w14:textId="77777777" w:rsidR="006E1E21" w:rsidRPr="00985B97" w:rsidRDefault="006E1E21" w:rsidP="00985B97">
      <w:pPr>
        <w:jc w:val="both"/>
        <w:rPr>
          <w:rFonts w:asciiTheme="majorHAnsi" w:hAnsiTheme="majorHAnsi" w:cstheme="majorHAnsi"/>
        </w:rPr>
      </w:pPr>
      <w:proofErr w:type="spellStart"/>
      <w:r w:rsidRPr="00985B97">
        <w:rPr>
          <w:rFonts w:asciiTheme="majorHAnsi" w:hAnsiTheme="majorHAnsi" w:cstheme="majorHAnsi"/>
        </w:rPr>
        <w:t>Ministério</w:t>
      </w:r>
      <w:proofErr w:type="spellEnd"/>
      <w:r w:rsidRPr="00985B97">
        <w:rPr>
          <w:rFonts w:asciiTheme="majorHAnsi" w:hAnsiTheme="majorHAnsi" w:cstheme="majorHAnsi"/>
        </w:rPr>
        <w:t xml:space="preserve"> de Minas e </w:t>
      </w:r>
      <w:proofErr w:type="spellStart"/>
      <w:r w:rsidRPr="00985B97">
        <w:rPr>
          <w:rFonts w:asciiTheme="majorHAnsi" w:hAnsiTheme="majorHAnsi" w:cstheme="majorHAnsi"/>
        </w:rPr>
        <w:t>Energia</w:t>
      </w:r>
      <w:proofErr w:type="spellEnd"/>
      <w:r w:rsidRPr="00985B97">
        <w:rPr>
          <w:rFonts w:asciiTheme="majorHAnsi" w:hAnsiTheme="majorHAnsi" w:cstheme="majorHAnsi"/>
        </w:rPr>
        <w:t xml:space="preserve">. (2024). Política Nacional de </w:t>
      </w:r>
      <w:proofErr w:type="spellStart"/>
      <w:r w:rsidRPr="00985B97">
        <w:rPr>
          <w:rFonts w:asciiTheme="majorHAnsi" w:hAnsiTheme="majorHAnsi" w:cstheme="majorHAnsi"/>
        </w:rPr>
        <w:t>Transição</w:t>
      </w:r>
      <w:proofErr w:type="spellEnd"/>
      <w:r w:rsidRPr="00985B97">
        <w:rPr>
          <w:rFonts w:asciiTheme="majorHAnsi" w:hAnsiTheme="majorHAnsi" w:cstheme="majorHAnsi"/>
        </w:rPr>
        <w:t xml:space="preserve"> Energética (PNTE) 2050. Empresa de Pesquisa Energética. Disponible en: https://www.gov.br/mme/pt-br/assuntos/secretarias/sntep/dte/cgate/pnte </w:t>
      </w:r>
    </w:p>
    <w:p w14:paraId="284161D3" w14:textId="77777777" w:rsidR="006255C9" w:rsidRPr="00985B97" w:rsidRDefault="006255C9" w:rsidP="00985B97">
      <w:pPr>
        <w:pBdr>
          <w:top w:val="nil"/>
          <w:left w:val="nil"/>
          <w:bottom w:val="nil"/>
          <w:right w:val="nil"/>
          <w:between w:val="nil"/>
        </w:pBdr>
        <w:spacing w:before="240"/>
        <w:jc w:val="both"/>
        <w:rPr>
          <w:rFonts w:asciiTheme="majorHAnsi" w:hAnsiTheme="majorHAnsi" w:cstheme="majorHAnsi"/>
          <w:color w:val="000000" w:themeColor="text1"/>
        </w:rPr>
      </w:pPr>
      <w:r w:rsidRPr="00985B97">
        <w:rPr>
          <w:rFonts w:asciiTheme="majorHAnsi" w:hAnsiTheme="majorHAnsi" w:cstheme="majorHAnsi"/>
          <w:color w:val="000000" w:themeColor="text1"/>
        </w:rPr>
        <w:lastRenderedPageBreak/>
        <w:t xml:space="preserve">Ministerio de Minas y Energía [MME]. (s. f.). Método relacionamiento legislativo sector minero energético. Documento interno. Ministerio de Minas y Energía de Colombia. </w:t>
      </w:r>
    </w:p>
    <w:p w14:paraId="6F52A12F" w14:textId="77777777" w:rsidR="006255C9" w:rsidRPr="00985B97" w:rsidRDefault="006255C9" w:rsidP="00985B97">
      <w:pPr>
        <w:pBdr>
          <w:top w:val="nil"/>
          <w:left w:val="nil"/>
          <w:bottom w:val="nil"/>
          <w:right w:val="nil"/>
          <w:between w:val="nil"/>
        </w:pBdr>
        <w:spacing w:before="240"/>
        <w:jc w:val="both"/>
        <w:rPr>
          <w:rFonts w:asciiTheme="majorHAnsi" w:hAnsiTheme="majorHAnsi" w:cstheme="majorHAnsi"/>
          <w:color w:val="000000" w:themeColor="text1"/>
        </w:rPr>
      </w:pPr>
      <w:r w:rsidRPr="00985B97">
        <w:rPr>
          <w:rFonts w:asciiTheme="majorHAnsi" w:hAnsiTheme="majorHAnsi" w:cstheme="majorHAnsi"/>
          <w:color w:val="000000" w:themeColor="text1"/>
        </w:rPr>
        <w:t xml:space="preserve">Ministerio de Minas y Energía [MME]. (2024). Diagnóstico base para la Transición Energética Justa. https://www.minenergia.gov.co/documents/12591/DIAGNÓSTICO_BASE_PARA_LA_TRANSICIÓN_ENERGÉTICA_JUSTA_-_2024.pdf </w:t>
      </w:r>
    </w:p>
    <w:p w14:paraId="4FFE777E" w14:textId="77777777" w:rsidR="006E1E21" w:rsidRPr="00985B97" w:rsidRDefault="50A2AFEA" w:rsidP="00985B97">
      <w:pPr>
        <w:jc w:val="both"/>
        <w:rPr>
          <w:rFonts w:asciiTheme="majorHAnsi" w:hAnsiTheme="majorHAnsi" w:cstheme="majorHAnsi"/>
        </w:rPr>
      </w:pPr>
      <w:r w:rsidRPr="00985B97">
        <w:rPr>
          <w:rFonts w:asciiTheme="majorHAnsi" w:hAnsiTheme="majorHAnsi" w:cstheme="majorHAnsi"/>
        </w:rPr>
        <w:t xml:space="preserve">Ministerio de Minas y Energía. (2025). Hoja de Ruta para la Transición Energética Justa de Colombia. Disponible en: https://minenergia.gov.co/documents/13272/Hoja_de_ruta_transicion_energetica_justa_TEJ_2025.pdf#:~:text=La%20Transici%C3%B3n%20Energ%C3%A9tica%20Justa%20es%20una%20oportunidad,productivas%20que%20permitan%20una%20generaci%C3%B3n%20de%20valor  </w:t>
      </w:r>
    </w:p>
    <w:p w14:paraId="703AFA82"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rPr>
        <w:t xml:space="preserve">Montesquieu. (1748). El espíritu de las leyes. Disponible en: https://ministeriodeeducacion.gob.do/docs/biblioteca-virtual/idcX-montesquieu-el-espiritu-de-las-leyespdf.pdf  </w:t>
      </w:r>
    </w:p>
    <w:p w14:paraId="21A92FFC" w14:textId="77777777" w:rsidR="006255C9" w:rsidRPr="00985B97" w:rsidRDefault="006255C9" w:rsidP="00985B97">
      <w:pPr>
        <w:pBdr>
          <w:top w:val="nil"/>
          <w:left w:val="nil"/>
          <w:bottom w:val="nil"/>
          <w:right w:val="nil"/>
          <w:between w:val="nil"/>
        </w:pBdr>
        <w:spacing w:before="240"/>
        <w:jc w:val="both"/>
        <w:rPr>
          <w:rFonts w:asciiTheme="majorHAnsi" w:hAnsiTheme="majorHAnsi" w:cstheme="majorHAnsi"/>
          <w:color w:val="000000" w:themeColor="text1"/>
        </w:rPr>
      </w:pPr>
      <w:r w:rsidRPr="00985B97">
        <w:rPr>
          <w:rFonts w:asciiTheme="majorHAnsi" w:hAnsiTheme="majorHAnsi" w:cstheme="majorHAnsi"/>
          <w:color w:val="000000" w:themeColor="text1"/>
        </w:rPr>
        <w:t xml:space="preserve">Nacif, B. (2013). Las relaciones entre los poderes </w:t>
      </w:r>
      <w:r w:rsidR="001D4B0A" w:rsidRPr="00985B97">
        <w:rPr>
          <w:rFonts w:asciiTheme="majorHAnsi" w:hAnsiTheme="majorHAnsi" w:cstheme="majorHAnsi"/>
          <w:color w:val="000000" w:themeColor="text1"/>
        </w:rPr>
        <w:t>ejecutivo</w:t>
      </w:r>
      <w:r w:rsidRPr="00985B97">
        <w:rPr>
          <w:rFonts w:asciiTheme="majorHAnsi" w:hAnsiTheme="majorHAnsi" w:cstheme="majorHAnsi"/>
          <w:color w:val="000000" w:themeColor="text1"/>
        </w:rPr>
        <w:t xml:space="preserve"> y </w:t>
      </w:r>
      <w:r w:rsidR="001D4B0A" w:rsidRPr="00985B97">
        <w:rPr>
          <w:rFonts w:asciiTheme="majorHAnsi" w:hAnsiTheme="majorHAnsi" w:cstheme="majorHAnsi"/>
          <w:color w:val="000000" w:themeColor="text1"/>
        </w:rPr>
        <w:t>legislativo</w:t>
      </w:r>
      <w:r w:rsidRPr="00985B97">
        <w:rPr>
          <w:rFonts w:asciiTheme="majorHAnsi" w:hAnsiTheme="majorHAnsi" w:cstheme="majorHAnsi"/>
          <w:color w:val="000000" w:themeColor="text1"/>
        </w:rPr>
        <w:t xml:space="preserve"> en México tras el fin del presidencialismo. Política y Gobierno, 10(1), 9-41. </w:t>
      </w:r>
    </w:p>
    <w:p w14:paraId="72A2999B" w14:textId="77777777" w:rsidR="006255C9" w:rsidRPr="00985B97" w:rsidRDefault="006255C9" w:rsidP="00985B97">
      <w:pPr>
        <w:pBdr>
          <w:top w:val="nil"/>
          <w:left w:val="nil"/>
          <w:bottom w:val="nil"/>
          <w:right w:val="nil"/>
          <w:between w:val="nil"/>
        </w:pBdr>
        <w:spacing w:before="240"/>
        <w:jc w:val="both"/>
        <w:rPr>
          <w:rFonts w:asciiTheme="majorHAnsi" w:hAnsiTheme="majorHAnsi" w:cstheme="majorHAnsi"/>
          <w:color w:val="000000" w:themeColor="text1"/>
        </w:rPr>
      </w:pPr>
      <w:r w:rsidRPr="00985B97">
        <w:rPr>
          <w:rFonts w:asciiTheme="majorHAnsi" w:hAnsiTheme="majorHAnsi" w:cstheme="majorHAnsi"/>
          <w:color w:val="000000" w:themeColor="text1"/>
        </w:rPr>
        <w:t xml:space="preserve">OCDE. (2024). OECD </w:t>
      </w:r>
      <w:proofErr w:type="spellStart"/>
      <w:r w:rsidRPr="00985B97">
        <w:rPr>
          <w:rFonts w:asciiTheme="majorHAnsi" w:hAnsiTheme="majorHAnsi" w:cstheme="majorHAnsi"/>
          <w:color w:val="000000" w:themeColor="text1"/>
        </w:rPr>
        <w:t>Economic</w:t>
      </w:r>
      <w:proofErr w:type="spellEnd"/>
      <w:r w:rsidRPr="00985B97">
        <w:rPr>
          <w:rFonts w:asciiTheme="majorHAnsi" w:hAnsiTheme="majorHAnsi" w:cstheme="majorHAnsi"/>
          <w:color w:val="000000" w:themeColor="text1"/>
        </w:rPr>
        <w:t xml:space="preserve"> </w:t>
      </w:r>
      <w:proofErr w:type="spellStart"/>
      <w:r w:rsidRPr="00985B97">
        <w:rPr>
          <w:rFonts w:asciiTheme="majorHAnsi" w:hAnsiTheme="majorHAnsi" w:cstheme="majorHAnsi"/>
          <w:color w:val="000000" w:themeColor="text1"/>
        </w:rPr>
        <w:t>Surveys</w:t>
      </w:r>
      <w:proofErr w:type="spellEnd"/>
      <w:r w:rsidRPr="00985B97">
        <w:rPr>
          <w:rFonts w:asciiTheme="majorHAnsi" w:hAnsiTheme="majorHAnsi" w:cstheme="majorHAnsi"/>
          <w:color w:val="000000" w:themeColor="text1"/>
        </w:rPr>
        <w:t xml:space="preserve">: </w:t>
      </w:r>
      <w:proofErr w:type="spellStart"/>
      <w:r w:rsidRPr="00985B97">
        <w:rPr>
          <w:rFonts w:asciiTheme="majorHAnsi" w:hAnsiTheme="majorHAnsi" w:cstheme="majorHAnsi"/>
          <w:color w:val="000000" w:themeColor="text1"/>
        </w:rPr>
        <w:t>Mexico</w:t>
      </w:r>
      <w:proofErr w:type="spellEnd"/>
      <w:r w:rsidRPr="00985B97">
        <w:rPr>
          <w:rFonts w:asciiTheme="majorHAnsi" w:hAnsiTheme="majorHAnsi" w:cstheme="majorHAnsi"/>
          <w:color w:val="000000" w:themeColor="text1"/>
        </w:rPr>
        <w:t xml:space="preserve"> 2024. OECD Publishing. </w:t>
      </w:r>
    </w:p>
    <w:p w14:paraId="62EBBEF3" w14:textId="77777777" w:rsidR="006E1E21" w:rsidRPr="00985B97" w:rsidRDefault="006E1E21" w:rsidP="00985B97">
      <w:pPr>
        <w:jc w:val="both"/>
        <w:rPr>
          <w:rFonts w:asciiTheme="majorHAnsi" w:hAnsiTheme="majorHAnsi" w:cstheme="majorHAnsi"/>
          <w:lang w:val="en-US"/>
        </w:rPr>
      </w:pPr>
      <w:r w:rsidRPr="00985B97">
        <w:rPr>
          <w:rFonts w:asciiTheme="majorHAnsi" w:hAnsiTheme="majorHAnsi" w:cstheme="majorHAnsi"/>
        </w:rPr>
        <w:t xml:space="preserve">Pachón, M. (2020). Control político en Colombia. </w:t>
      </w:r>
      <w:r w:rsidRPr="00985B97">
        <w:rPr>
          <w:rFonts w:asciiTheme="majorHAnsi" w:hAnsiTheme="majorHAnsi" w:cstheme="majorHAnsi"/>
          <w:lang w:val="en-US"/>
        </w:rPr>
        <w:t xml:space="preserve">Geneva Centre for </w:t>
      </w:r>
      <w:proofErr w:type="spellStart"/>
      <w:r w:rsidRPr="00985B97">
        <w:rPr>
          <w:rFonts w:asciiTheme="majorHAnsi" w:hAnsiTheme="majorHAnsi" w:cstheme="majorHAnsi"/>
          <w:lang w:val="en-US"/>
        </w:rPr>
        <w:t>Secutiry</w:t>
      </w:r>
      <w:proofErr w:type="spellEnd"/>
      <w:r w:rsidRPr="00985B97">
        <w:rPr>
          <w:rFonts w:asciiTheme="majorHAnsi" w:hAnsiTheme="majorHAnsi" w:cstheme="majorHAnsi"/>
          <w:lang w:val="en-US"/>
        </w:rPr>
        <w:t xml:space="preserve"> Sector Governance DCAF. https://www.dcaf.ch/sites/default/files/publications/documents/DCAF_Estudio%20</w:t>
      </w:r>
      <w:r w:rsidR="001D4B0A" w:rsidRPr="00985B97">
        <w:rPr>
          <w:rFonts w:asciiTheme="majorHAnsi" w:hAnsiTheme="majorHAnsi" w:cstheme="majorHAnsi"/>
          <w:lang w:val="en-US"/>
        </w:rPr>
        <w:t>legislativo</w:t>
      </w:r>
      <w:r w:rsidRPr="00985B97">
        <w:rPr>
          <w:rFonts w:asciiTheme="majorHAnsi" w:hAnsiTheme="majorHAnsi" w:cstheme="majorHAnsi"/>
          <w:lang w:val="en-US"/>
        </w:rPr>
        <w:t xml:space="preserve">-ONLINE_Revisado_FINAL.pdf </w:t>
      </w:r>
    </w:p>
    <w:p w14:paraId="090962FF" w14:textId="77777777" w:rsidR="006255C9" w:rsidRPr="00985B97" w:rsidRDefault="006255C9" w:rsidP="00985B97">
      <w:pPr>
        <w:pBdr>
          <w:top w:val="nil"/>
          <w:left w:val="nil"/>
          <w:bottom w:val="nil"/>
          <w:right w:val="nil"/>
          <w:between w:val="nil"/>
        </w:pBdr>
        <w:spacing w:before="240"/>
        <w:jc w:val="both"/>
        <w:rPr>
          <w:rFonts w:asciiTheme="majorHAnsi" w:hAnsiTheme="majorHAnsi" w:cstheme="majorHAnsi"/>
          <w:color w:val="000000" w:themeColor="text1"/>
        </w:rPr>
      </w:pPr>
      <w:r w:rsidRPr="00985B97">
        <w:rPr>
          <w:rFonts w:asciiTheme="majorHAnsi" w:hAnsiTheme="majorHAnsi" w:cstheme="majorHAnsi"/>
          <w:color w:val="000000" w:themeColor="text1"/>
        </w:rPr>
        <w:t xml:space="preserve">Prontuario de Democracia UNAM. (2021). Presidencialismo de </w:t>
      </w:r>
      <w:proofErr w:type="spellStart"/>
      <w:r w:rsidRPr="00985B97">
        <w:rPr>
          <w:rFonts w:asciiTheme="majorHAnsi" w:hAnsiTheme="majorHAnsi" w:cstheme="majorHAnsi"/>
          <w:color w:val="000000" w:themeColor="text1"/>
        </w:rPr>
        <w:t>supermayoría</w:t>
      </w:r>
      <w:proofErr w:type="spellEnd"/>
      <w:r w:rsidRPr="00985B97">
        <w:rPr>
          <w:rFonts w:asciiTheme="majorHAnsi" w:hAnsiTheme="majorHAnsi" w:cstheme="majorHAnsi"/>
          <w:color w:val="000000" w:themeColor="text1"/>
        </w:rPr>
        <w:t xml:space="preserve"> en México: Congreso y gobernabilidad. UNAM. </w:t>
      </w:r>
    </w:p>
    <w:p w14:paraId="482787A2"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rPr>
        <w:t xml:space="preserve">Puyana Valdivieso, J. (2008). El control legislativo de la burocracia: un estado del arte. Civilizar Ciencias Sociales y Humanas, 8(14), 63-84. Disponible en: http://www.scielo.org.co/scielo.php?script=sci_arttext&amp;pid=S1657-89532008000100006&amp;lng=en&amp;tlng=es  </w:t>
      </w:r>
    </w:p>
    <w:p w14:paraId="2F8B3821" w14:textId="77777777" w:rsidR="006255C9" w:rsidRPr="00985B97" w:rsidRDefault="006255C9" w:rsidP="00985B97">
      <w:pPr>
        <w:pBdr>
          <w:top w:val="nil"/>
          <w:left w:val="nil"/>
          <w:bottom w:val="nil"/>
          <w:right w:val="nil"/>
          <w:between w:val="nil"/>
        </w:pBdr>
        <w:spacing w:before="240"/>
        <w:jc w:val="both"/>
        <w:rPr>
          <w:rFonts w:asciiTheme="majorHAnsi" w:hAnsiTheme="majorHAnsi" w:cstheme="majorHAnsi"/>
          <w:color w:val="000000" w:themeColor="text1"/>
        </w:rPr>
      </w:pPr>
      <w:r w:rsidRPr="00985B97">
        <w:rPr>
          <w:rFonts w:asciiTheme="majorHAnsi" w:hAnsiTheme="majorHAnsi" w:cstheme="majorHAnsi"/>
          <w:color w:val="000000" w:themeColor="text1"/>
        </w:rPr>
        <w:lastRenderedPageBreak/>
        <w:t xml:space="preserve">Red Eléctrica de España – REE. (2025). Informe de Energías Renovables 2024. REE. </w:t>
      </w:r>
    </w:p>
    <w:p w14:paraId="0AF52182" w14:textId="77777777" w:rsidR="006255C9" w:rsidRPr="00985B97" w:rsidRDefault="006255C9" w:rsidP="00985B97">
      <w:pPr>
        <w:pBdr>
          <w:top w:val="nil"/>
          <w:left w:val="nil"/>
          <w:bottom w:val="nil"/>
          <w:right w:val="nil"/>
          <w:between w:val="nil"/>
        </w:pBdr>
        <w:spacing w:before="240"/>
        <w:jc w:val="both"/>
        <w:rPr>
          <w:rFonts w:asciiTheme="majorHAnsi" w:hAnsiTheme="majorHAnsi" w:cstheme="majorHAnsi"/>
          <w:color w:val="000000" w:themeColor="text1"/>
        </w:rPr>
      </w:pPr>
      <w:r w:rsidRPr="00985B97">
        <w:rPr>
          <w:rFonts w:asciiTheme="majorHAnsi" w:hAnsiTheme="majorHAnsi" w:cstheme="majorHAnsi"/>
          <w:color w:val="000000" w:themeColor="text1"/>
          <w:lang w:val="en-US"/>
        </w:rPr>
        <w:t xml:space="preserve">Rhodes, R. A. W. (1990). Policy networks: A British perspective. </w:t>
      </w:r>
      <w:proofErr w:type="spellStart"/>
      <w:r w:rsidRPr="00985B97">
        <w:rPr>
          <w:rFonts w:asciiTheme="majorHAnsi" w:hAnsiTheme="majorHAnsi" w:cstheme="majorHAnsi"/>
          <w:color w:val="000000" w:themeColor="text1"/>
        </w:rPr>
        <w:t>Journal</w:t>
      </w:r>
      <w:proofErr w:type="spellEnd"/>
      <w:r w:rsidRPr="00985B97">
        <w:rPr>
          <w:rFonts w:asciiTheme="majorHAnsi" w:hAnsiTheme="majorHAnsi" w:cstheme="majorHAnsi"/>
          <w:color w:val="000000" w:themeColor="text1"/>
        </w:rPr>
        <w:t xml:space="preserve"> </w:t>
      </w:r>
      <w:proofErr w:type="spellStart"/>
      <w:r w:rsidRPr="00985B97">
        <w:rPr>
          <w:rFonts w:asciiTheme="majorHAnsi" w:hAnsiTheme="majorHAnsi" w:cstheme="majorHAnsi"/>
          <w:color w:val="000000" w:themeColor="text1"/>
        </w:rPr>
        <w:t>of</w:t>
      </w:r>
      <w:proofErr w:type="spellEnd"/>
      <w:r w:rsidRPr="00985B97">
        <w:rPr>
          <w:rFonts w:asciiTheme="majorHAnsi" w:hAnsiTheme="majorHAnsi" w:cstheme="majorHAnsi"/>
          <w:color w:val="000000" w:themeColor="text1"/>
        </w:rPr>
        <w:t xml:space="preserve"> </w:t>
      </w:r>
      <w:proofErr w:type="spellStart"/>
      <w:r w:rsidRPr="00985B97">
        <w:rPr>
          <w:rFonts w:asciiTheme="majorHAnsi" w:hAnsiTheme="majorHAnsi" w:cstheme="majorHAnsi"/>
          <w:color w:val="000000" w:themeColor="text1"/>
        </w:rPr>
        <w:t>Theoretical</w:t>
      </w:r>
      <w:proofErr w:type="spellEnd"/>
      <w:r w:rsidRPr="00985B97">
        <w:rPr>
          <w:rFonts w:asciiTheme="majorHAnsi" w:hAnsiTheme="majorHAnsi" w:cstheme="majorHAnsi"/>
          <w:color w:val="000000" w:themeColor="text1"/>
        </w:rPr>
        <w:t xml:space="preserve"> </w:t>
      </w:r>
      <w:proofErr w:type="spellStart"/>
      <w:r w:rsidRPr="00985B97">
        <w:rPr>
          <w:rFonts w:asciiTheme="majorHAnsi" w:hAnsiTheme="majorHAnsi" w:cstheme="majorHAnsi"/>
          <w:color w:val="000000" w:themeColor="text1"/>
        </w:rPr>
        <w:t>Politics</w:t>
      </w:r>
      <w:proofErr w:type="spellEnd"/>
      <w:r w:rsidRPr="00985B97">
        <w:rPr>
          <w:rFonts w:asciiTheme="majorHAnsi" w:hAnsiTheme="majorHAnsi" w:cstheme="majorHAnsi"/>
          <w:color w:val="000000" w:themeColor="text1"/>
        </w:rPr>
        <w:t xml:space="preserve">, 2(3), 293-317. https://doi.org/10.1177/0951692890002003002 </w:t>
      </w:r>
    </w:p>
    <w:p w14:paraId="791331B2"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rPr>
        <w:t xml:space="preserve">Rojas, J. (2022). El control político del poder legislativo en el estado de emergencia económica, social y ecológica en Colombia: una propuesta para lograr su eficacia. Universidad Externado de Colombia. [Tesis de maestría]. Disponible en: https://bdigital.uexternado.edu.co/server/api/core/bitstreams/cf10811e-09fd-4a57-9093-9477dbeafbf8/content  </w:t>
      </w:r>
    </w:p>
    <w:p w14:paraId="70665FB7" w14:textId="77777777" w:rsidR="006255C9" w:rsidRPr="00985B97" w:rsidRDefault="006255C9" w:rsidP="00985B97">
      <w:pPr>
        <w:pBdr>
          <w:top w:val="nil"/>
          <w:left w:val="nil"/>
          <w:bottom w:val="nil"/>
          <w:right w:val="nil"/>
          <w:between w:val="nil"/>
        </w:pBdr>
        <w:spacing w:before="240"/>
        <w:jc w:val="both"/>
        <w:rPr>
          <w:rFonts w:asciiTheme="majorHAnsi" w:hAnsiTheme="majorHAnsi" w:cstheme="majorHAnsi"/>
          <w:color w:val="000000" w:themeColor="text1"/>
          <w:lang w:val="en-US"/>
        </w:rPr>
      </w:pPr>
      <w:r w:rsidRPr="00985B97">
        <w:rPr>
          <w:rFonts w:asciiTheme="majorHAnsi" w:hAnsiTheme="majorHAnsi" w:cstheme="majorHAnsi"/>
          <w:color w:val="000000" w:themeColor="text1"/>
          <w:lang w:val="en-US"/>
        </w:rPr>
        <w:t xml:space="preserve">Taylor, M. et al. (2025). Exploring discourses of climate delay in energy transition. Climate Policy. https://www.tandfonline.com/doi/full/10.1080/17565529.2025.2574078 </w:t>
      </w:r>
    </w:p>
    <w:p w14:paraId="2272D89B" w14:textId="77777777" w:rsidR="006255C9" w:rsidRPr="00985B97" w:rsidRDefault="006255C9" w:rsidP="00985B97">
      <w:pPr>
        <w:jc w:val="both"/>
        <w:rPr>
          <w:rFonts w:asciiTheme="majorHAnsi" w:hAnsiTheme="majorHAnsi" w:cstheme="majorHAnsi"/>
          <w:lang w:val="en-US"/>
        </w:rPr>
      </w:pPr>
      <w:proofErr w:type="spellStart"/>
      <w:r w:rsidRPr="00985B97">
        <w:rPr>
          <w:rFonts w:asciiTheme="majorHAnsi" w:hAnsiTheme="majorHAnsi" w:cstheme="majorHAnsi"/>
          <w:lang w:val="en-US"/>
        </w:rPr>
        <w:t>Tsebelis</w:t>
      </w:r>
      <w:proofErr w:type="spellEnd"/>
      <w:r w:rsidRPr="00985B97">
        <w:rPr>
          <w:rFonts w:asciiTheme="majorHAnsi" w:hAnsiTheme="majorHAnsi" w:cstheme="majorHAnsi"/>
          <w:lang w:val="en-US"/>
        </w:rPr>
        <w:t>, G. (2002). Veto players: How political institutions work. Princeton University Press. http://www.jstor.org/stable/j.ctt7rvv7</w:t>
      </w:r>
    </w:p>
    <w:p w14:paraId="2AEC8628"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lang w:val="en-US"/>
        </w:rPr>
        <w:t xml:space="preserve">Uribe, J. (2022). </w:t>
      </w:r>
      <w:r w:rsidRPr="00985B97">
        <w:rPr>
          <w:rFonts w:asciiTheme="majorHAnsi" w:hAnsiTheme="majorHAnsi" w:cstheme="majorHAnsi"/>
        </w:rPr>
        <w:t xml:space="preserve">La relación de la rama ejecutiva y legislativa en la formulación de políticas públicas en Colombia. Análisis de la elaboración y aprobación del Plan Nacional de Desarrollo 2018-2022. En: Documento de Trabajo No. 88. ISSN 2215 – 7816. Disponible en: https://gobierno.uniandes.edu.co/documento-de-trabajo-no-88/  </w:t>
      </w:r>
    </w:p>
    <w:p w14:paraId="4EE369D2"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rPr>
        <w:t xml:space="preserve">Unidad de Planeación Minero-Energética (UPME). (S. F.). Transición energética justa. </w:t>
      </w:r>
      <w:r w:rsidR="58A592BA" w:rsidRPr="00985B97">
        <w:rPr>
          <w:rFonts w:asciiTheme="majorHAnsi" w:hAnsiTheme="majorHAnsi" w:cstheme="majorHAnsi"/>
        </w:rPr>
        <w:t xml:space="preserve">Disponible en: </w:t>
      </w:r>
      <w:r w:rsidRPr="00985B97">
        <w:rPr>
          <w:rFonts w:asciiTheme="majorHAnsi" w:hAnsiTheme="majorHAnsi" w:cstheme="majorHAnsi"/>
        </w:rPr>
        <w:t xml:space="preserve">https://www.upme.gov.co/transicion-energetica-justa/#:~:text=La%20Transici%C3%B3n%20Energ%C3%A9tica%20Justa%20(TEJ,integrando%20dimensiones%20de%20justicia%20ambiental%2C   </w:t>
      </w:r>
    </w:p>
    <w:p w14:paraId="055F8D76"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rPr>
        <w:t xml:space="preserve">Vargas, J. (2005). Hacia un nuevo diseño de gobernabilidad glocal postnacional, Polis [En línea], 10. </w:t>
      </w:r>
      <w:r w:rsidR="2A306E59" w:rsidRPr="00985B97">
        <w:rPr>
          <w:rFonts w:asciiTheme="majorHAnsi" w:hAnsiTheme="majorHAnsi" w:cstheme="majorHAnsi"/>
        </w:rPr>
        <w:t>Disponible en</w:t>
      </w:r>
      <w:r w:rsidRPr="00985B97">
        <w:rPr>
          <w:rFonts w:asciiTheme="majorHAnsi" w:hAnsiTheme="majorHAnsi" w:cstheme="majorHAnsi"/>
        </w:rPr>
        <w:t xml:space="preserve">: http://journals.openedition.org/polis/7553 </w:t>
      </w:r>
    </w:p>
    <w:p w14:paraId="3DC2981F"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rPr>
        <w:t xml:space="preserve">Velásquez G. (2010). Hacia una nueva definición del concepto “política pública”. Desafíos, 20, 149–187. </w:t>
      </w:r>
    </w:p>
    <w:p w14:paraId="6D52B633" w14:textId="77777777" w:rsidR="50A2AFEA" w:rsidRPr="00985B97" w:rsidRDefault="50A2AFEA" w:rsidP="00985B97">
      <w:pPr>
        <w:jc w:val="both"/>
        <w:rPr>
          <w:rFonts w:asciiTheme="majorHAnsi" w:hAnsiTheme="majorHAnsi" w:cstheme="majorHAnsi"/>
        </w:rPr>
      </w:pPr>
      <w:proofErr w:type="spellStart"/>
      <w:r w:rsidRPr="00985B97">
        <w:rPr>
          <w:rFonts w:asciiTheme="majorHAnsi" w:hAnsiTheme="majorHAnsi" w:cstheme="majorHAnsi"/>
        </w:rPr>
        <w:t>Vile</w:t>
      </w:r>
      <w:proofErr w:type="spellEnd"/>
      <w:r w:rsidRPr="00985B97">
        <w:rPr>
          <w:rFonts w:asciiTheme="majorHAnsi" w:hAnsiTheme="majorHAnsi" w:cstheme="majorHAnsi"/>
        </w:rPr>
        <w:t xml:space="preserve">, M. J. C. (2007). Constitucionalismo y separación de poderes. Centro de Estudios Políticos y Constitucionales. Madrid. </w:t>
      </w:r>
    </w:p>
    <w:p w14:paraId="1924B3AC" w14:textId="77777777" w:rsidR="00023650" w:rsidRPr="00985B97" w:rsidRDefault="006255C9" w:rsidP="00985B97">
      <w:pPr>
        <w:pBdr>
          <w:top w:val="nil"/>
          <w:left w:val="nil"/>
          <w:bottom w:val="nil"/>
          <w:right w:val="nil"/>
          <w:between w:val="nil"/>
        </w:pBdr>
        <w:spacing w:before="240"/>
        <w:jc w:val="both"/>
        <w:rPr>
          <w:rFonts w:asciiTheme="majorHAnsi" w:hAnsiTheme="majorHAnsi" w:cstheme="majorHAnsi"/>
          <w:lang w:val="es-ES"/>
        </w:rPr>
      </w:pPr>
      <w:proofErr w:type="spellStart"/>
      <w:r w:rsidRPr="00985B97">
        <w:rPr>
          <w:rFonts w:asciiTheme="majorHAnsi" w:hAnsiTheme="majorHAnsi" w:cstheme="majorHAnsi"/>
          <w:color w:val="000000" w:themeColor="text1"/>
        </w:rPr>
        <w:lastRenderedPageBreak/>
        <w:t>World</w:t>
      </w:r>
      <w:proofErr w:type="spellEnd"/>
      <w:r w:rsidRPr="00985B97">
        <w:rPr>
          <w:rFonts w:asciiTheme="majorHAnsi" w:hAnsiTheme="majorHAnsi" w:cstheme="majorHAnsi"/>
          <w:color w:val="000000" w:themeColor="text1"/>
        </w:rPr>
        <w:t xml:space="preserve"> </w:t>
      </w:r>
      <w:proofErr w:type="spellStart"/>
      <w:r w:rsidRPr="00985B97">
        <w:rPr>
          <w:rFonts w:asciiTheme="majorHAnsi" w:hAnsiTheme="majorHAnsi" w:cstheme="majorHAnsi"/>
          <w:color w:val="000000" w:themeColor="text1"/>
        </w:rPr>
        <w:t>Economic</w:t>
      </w:r>
      <w:proofErr w:type="spellEnd"/>
      <w:r w:rsidRPr="00985B97">
        <w:rPr>
          <w:rFonts w:asciiTheme="majorHAnsi" w:hAnsiTheme="majorHAnsi" w:cstheme="majorHAnsi"/>
          <w:color w:val="000000" w:themeColor="text1"/>
        </w:rPr>
        <w:t xml:space="preserve"> </w:t>
      </w:r>
      <w:proofErr w:type="spellStart"/>
      <w:r w:rsidRPr="00985B97">
        <w:rPr>
          <w:rFonts w:asciiTheme="majorHAnsi" w:hAnsiTheme="majorHAnsi" w:cstheme="majorHAnsi"/>
          <w:color w:val="000000" w:themeColor="text1"/>
        </w:rPr>
        <w:t>Forum</w:t>
      </w:r>
      <w:proofErr w:type="spellEnd"/>
      <w:r w:rsidRPr="00985B97">
        <w:rPr>
          <w:rFonts w:asciiTheme="majorHAnsi" w:hAnsiTheme="majorHAnsi" w:cstheme="majorHAnsi"/>
          <w:color w:val="000000" w:themeColor="text1"/>
        </w:rPr>
        <w:t xml:space="preserve">. </w:t>
      </w:r>
      <w:r w:rsidRPr="00985B97">
        <w:rPr>
          <w:rFonts w:asciiTheme="majorHAnsi" w:hAnsiTheme="majorHAnsi" w:cstheme="majorHAnsi"/>
          <w:color w:val="000000" w:themeColor="text1"/>
          <w:lang w:val="en-US"/>
        </w:rPr>
        <w:t xml:space="preserve">(2024). Fostering Effective Energy Transition: Energy Transition Index 2024. </w:t>
      </w:r>
      <w:r w:rsidRPr="00985B97">
        <w:rPr>
          <w:rFonts w:asciiTheme="majorHAnsi" w:hAnsiTheme="majorHAnsi" w:cstheme="majorHAnsi"/>
          <w:color w:val="000000" w:themeColor="text1"/>
        </w:rPr>
        <w:t xml:space="preserve">WEF. </w:t>
      </w:r>
    </w:p>
    <w:p w14:paraId="300D8BC0" w14:textId="77777777" w:rsidR="50A2AFEA" w:rsidRPr="00985B97" w:rsidRDefault="50A2AFEA" w:rsidP="00985B97">
      <w:pPr>
        <w:jc w:val="both"/>
        <w:rPr>
          <w:rFonts w:asciiTheme="majorHAnsi" w:hAnsiTheme="majorHAnsi" w:cstheme="majorHAnsi"/>
          <w:b/>
          <w:bCs/>
        </w:rPr>
      </w:pPr>
      <w:r w:rsidRPr="00985B97">
        <w:rPr>
          <w:rFonts w:asciiTheme="majorHAnsi" w:hAnsiTheme="majorHAnsi" w:cstheme="majorHAnsi"/>
          <w:b/>
          <w:bCs/>
        </w:rPr>
        <w:t xml:space="preserve">Normatividad </w:t>
      </w:r>
    </w:p>
    <w:p w14:paraId="12B71C6B"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rPr>
        <w:t xml:space="preserve">Congreso de la República de Colombia. (1992). Ley 5 de 1992, “Por la cual se expide el Reglamento del Congreso de la República; el Senado de la República y la Cámara de Representantes”. Diario Oficial No. 40.483. https://www.senado.gov.co/index.php/el-senado/normatividad/ley-5ta-reglamento </w:t>
      </w:r>
    </w:p>
    <w:p w14:paraId="15C9FC48"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rPr>
        <w:t xml:space="preserve">Congreso de la República de Colombia. (2023). Ley 2294 de 2023, “Por la cual se expide el Plan Nacional de Desarrollo 2022-2026 "Colombia Potencia Mundial de la Vida"”. Diario Oficial No. 52.666. https://www.funcionpublica.gov.co/eva/gestornormativo/norma.php?i=209510 </w:t>
      </w:r>
    </w:p>
    <w:p w14:paraId="00E00D9B"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rPr>
        <w:t xml:space="preserve">Consejo nacional de política económica y social (CONPES). (2020). Política de transición energética [CONPES 4075]. Departamento Nacional de Planeación. https://colaboracion.dnp.gov.co/CDT/Conpes/Econ%C3%B3micos/4075.pdf </w:t>
      </w:r>
    </w:p>
    <w:p w14:paraId="2E76B6AC"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rPr>
        <w:t xml:space="preserve">Constitución Política de Colombia. (1991). https://www.funcionpublica.gov.co/eva/gestornormativo/norma.php?i=4125 </w:t>
      </w:r>
    </w:p>
    <w:p w14:paraId="1B4AA347" w14:textId="77777777" w:rsidR="50A2AFEA" w:rsidRPr="00985B97" w:rsidRDefault="50A2AFEA" w:rsidP="00985B97">
      <w:pPr>
        <w:jc w:val="both"/>
        <w:rPr>
          <w:rFonts w:asciiTheme="majorHAnsi" w:hAnsiTheme="majorHAnsi" w:cstheme="majorHAnsi"/>
        </w:rPr>
      </w:pPr>
      <w:r w:rsidRPr="00985B97">
        <w:rPr>
          <w:rFonts w:asciiTheme="majorHAnsi" w:hAnsiTheme="majorHAnsi" w:cstheme="majorHAnsi"/>
        </w:rPr>
        <w:t xml:space="preserve">Presidencia de la República de Colombia. (2012). Decreto 0381 de 2012, “Por el cual se modifica la estructura del Ministerio de Minas y Energía”. Diario Oficial No. 48.359. https://www.funcionpublica.gov.co/eva/gestornormativo/norma.php?i=45123 </w:t>
      </w:r>
    </w:p>
    <w:p w14:paraId="1966A204" w14:textId="77777777" w:rsidR="006E1E21" w:rsidRPr="00985B97" w:rsidRDefault="006E1E21" w:rsidP="00985B97">
      <w:pPr>
        <w:jc w:val="both"/>
        <w:rPr>
          <w:rFonts w:asciiTheme="majorHAnsi" w:hAnsiTheme="majorHAnsi" w:cstheme="majorHAnsi"/>
        </w:rPr>
      </w:pPr>
      <w:r w:rsidRPr="00985B97">
        <w:rPr>
          <w:rFonts w:asciiTheme="majorHAnsi" w:hAnsiTheme="majorHAnsi" w:cstheme="majorHAnsi"/>
        </w:rPr>
        <w:t xml:space="preserve">Presidencia de la República de Colombia. (2020). CONPES 3975 de 2019: Política para la transición energética. Departamento Nacional de Planeación. https://colaboracion.dnp.gov.co/CDT/Conpes/Econ%C3%B3micos/3975.pdf </w:t>
      </w:r>
    </w:p>
    <w:p w14:paraId="79BF7A96" w14:textId="77777777" w:rsidR="00A86834" w:rsidRDefault="50A2AFEA" w:rsidP="00985B97">
      <w:pPr>
        <w:jc w:val="both"/>
        <w:rPr>
          <w:rFonts w:asciiTheme="majorHAnsi" w:hAnsiTheme="majorHAnsi" w:cstheme="majorHAnsi"/>
        </w:rPr>
        <w:sectPr w:rsidR="00A86834">
          <w:pgSz w:w="12240" w:h="15840"/>
          <w:pgMar w:top="1991" w:right="1418" w:bottom="1588" w:left="1418" w:header="573" w:footer="1531" w:gutter="0"/>
          <w:pgNumType w:start="1"/>
          <w:cols w:space="720"/>
        </w:sectPr>
      </w:pPr>
      <w:r w:rsidRPr="00985B97">
        <w:rPr>
          <w:rFonts w:asciiTheme="majorHAnsi" w:hAnsiTheme="majorHAnsi" w:cstheme="majorHAnsi"/>
        </w:rPr>
        <w:t>Presidencia de la República de Colombia. (2013). Decreto 1617 de 2013, “Por el cual se modifica y adiciona el Decreto 381 del 16 de febrero de 2012”. Diario Oficial No. 48.879. https://www.funcionpublica.gov.co/eva/gestornormativo/norma.php?i=53498</w:t>
      </w:r>
    </w:p>
    <w:p w14:paraId="11622CAA" w14:textId="766E1F9B" w:rsidR="50A2AFEA" w:rsidRPr="00985B97" w:rsidRDefault="50A2AFEA" w:rsidP="00985B97">
      <w:pPr>
        <w:jc w:val="both"/>
        <w:rPr>
          <w:rFonts w:asciiTheme="majorHAnsi" w:hAnsiTheme="majorHAnsi" w:cstheme="majorHAnsi"/>
        </w:rPr>
      </w:pPr>
    </w:p>
    <w:p w14:paraId="7E58303C" w14:textId="77777777" w:rsidR="006E1E21" w:rsidRPr="00CD0C90" w:rsidRDefault="006E1E21" w:rsidP="00CD0C90">
      <w:pPr>
        <w:jc w:val="both"/>
        <w:rPr>
          <w:rFonts w:asciiTheme="majorHAnsi" w:hAnsiTheme="majorHAnsi" w:cstheme="majorHAnsi"/>
        </w:rPr>
      </w:pPr>
    </w:p>
    <w:p w14:paraId="183F7861" w14:textId="77777777" w:rsidR="006E1E21" w:rsidRPr="00CD0C90" w:rsidRDefault="006E1E21" w:rsidP="00CD0C90">
      <w:pPr>
        <w:jc w:val="both"/>
        <w:rPr>
          <w:rFonts w:asciiTheme="majorHAnsi" w:hAnsiTheme="majorHAnsi" w:cstheme="majorHAnsi"/>
        </w:rPr>
      </w:pPr>
    </w:p>
    <w:p w14:paraId="55F9E5CC" w14:textId="77777777" w:rsidR="006E1E21" w:rsidRPr="00CD0C90" w:rsidRDefault="006E1E21" w:rsidP="00CD0C90">
      <w:pPr>
        <w:jc w:val="both"/>
        <w:rPr>
          <w:rFonts w:asciiTheme="majorHAnsi" w:hAnsiTheme="majorHAnsi" w:cstheme="majorHAnsi"/>
        </w:rPr>
      </w:pPr>
    </w:p>
    <w:p w14:paraId="6EF1A4AA" w14:textId="77777777" w:rsidR="006E1E21" w:rsidRPr="00CD0C90" w:rsidRDefault="006E1E21" w:rsidP="00CD0C90">
      <w:pPr>
        <w:jc w:val="both"/>
        <w:rPr>
          <w:rFonts w:asciiTheme="majorHAnsi" w:hAnsiTheme="majorHAnsi" w:cstheme="majorHAnsi"/>
        </w:rPr>
      </w:pPr>
    </w:p>
    <w:p w14:paraId="4746FAA1" w14:textId="77777777" w:rsidR="006E1E21" w:rsidRPr="00CD0C90" w:rsidRDefault="006E1E21" w:rsidP="00CD0C90">
      <w:pPr>
        <w:jc w:val="both"/>
        <w:rPr>
          <w:rFonts w:asciiTheme="majorHAnsi" w:hAnsiTheme="majorHAnsi" w:cstheme="majorHAnsi"/>
        </w:rPr>
      </w:pPr>
    </w:p>
    <w:p w14:paraId="0909C97C" w14:textId="77777777" w:rsidR="006255C9" w:rsidRDefault="006255C9" w:rsidP="00CD0C90">
      <w:pPr>
        <w:pBdr>
          <w:top w:val="nil"/>
          <w:left w:val="nil"/>
          <w:bottom w:val="nil"/>
          <w:right w:val="nil"/>
          <w:between w:val="nil"/>
        </w:pBdr>
        <w:spacing w:before="240" w:after="0"/>
        <w:jc w:val="both"/>
        <w:rPr>
          <w:rFonts w:asciiTheme="majorHAnsi" w:hAnsiTheme="majorHAnsi" w:cstheme="majorHAnsi"/>
          <w:lang w:val="es-ES"/>
        </w:rPr>
      </w:pPr>
    </w:p>
    <w:p w14:paraId="13791C27" w14:textId="77777777" w:rsidR="00985B97" w:rsidRDefault="00985B97" w:rsidP="006245F7">
      <w:pPr>
        <w:jc w:val="center"/>
        <w:rPr>
          <w:rFonts w:asciiTheme="majorHAnsi" w:hAnsiTheme="majorHAnsi" w:cstheme="majorHAnsi"/>
          <w:b/>
          <w:bCs/>
          <w:color w:val="D49E21"/>
          <w:sz w:val="52"/>
          <w:szCs w:val="52"/>
        </w:rPr>
      </w:pPr>
    </w:p>
    <w:p w14:paraId="55D7F9D9" w14:textId="77777777" w:rsidR="00A86834" w:rsidRDefault="006245F7" w:rsidP="006245F7">
      <w:pPr>
        <w:jc w:val="center"/>
        <w:rPr>
          <w:rFonts w:asciiTheme="majorHAnsi" w:hAnsiTheme="majorHAnsi" w:cstheme="majorHAnsi"/>
          <w:b/>
          <w:bCs/>
          <w:color w:val="D49E21"/>
          <w:sz w:val="96"/>
          <w:szCs w:val="96"/>
        </w:rPr>
        <w:sectPr w:rsidR="00A86834">
          <w:pgSz w:w="12240" w:h="15840"/>
          <w:pgMar w:top="1991" w:right="1418" w:bottom="1588" w:left="1418" w:header="573" w:footer="1531" w:gutter="0"/>
          <w:pgNumType w:start="1"/>
          <w:cols w:space="720"/>
        </w:sectPr>
      </w:pPr>
      <w:bookmarkStart w:id="250" w:name="BM_EjeTransversal"/>
      <w:r w:rsidRPr="00081033">
        <w:rPr>
          <w:rFonts w:asciiTheme="majorHAnsi" w:hAnsiTheme="majorHAnsi" w:cstheme="majorHAnsi"/>
          <w:b/>
          <w:bCs/>
          <w:color w:val="D49E21"/>
          <w:sz w:val="96"/>
          <w:szCs w:val="96"/>
        </w:rPr>
        <w:t>EJE TRANSVERSAL</w:t>
      </w:r>
      <w:bookmarkEnd w:id="250"/>
    </w:p>
    <w:p w14:paraId="49F09EFC" w14:textId="77777777" w:rsidR="00E33FDE" w:rsidRDefault="00C72D7D" w:rsidP="00A86834">
      <w:pPr>
        <w:pStyle w:val="TtuloTDC"/>
        <w:jc w:val="left"/>
      </w:pPr>
      <w:r>
        <w:lastRenderedPageBreak/>
        <w:t>Contenido</w:t>
      </w:r>
    </w:p>
    <w:p w14:paraId="2F0FF5FA" w14:textId="77777777" w:rsidR="00E33FDE" w:rsidRDefault="00C72D7D">
      <w:pPr>
        <w:pStyle w:val="TDC1"/>
        <w:tabs>
          <w:tab w:val="right" w:leader="dot" w:pos="9394"/>
        </w:tabs>
        <w:rPr>
          <w:noProof/>
        </w:rPr>
      </w:pPr>
      <w:hyperlink w:anchor="_Toc235108042" w:history="1">
        <w:r>
          <w:rPr>
            <w:rStyle w:val="Hipervnculo"/>
            <w:noProof/>
          </w:rPr>
          <w:t>Introducción</w:t>
        </w:r>
        <w:r>
          <w:rPr>
            <w:noProof/>
          </w:rPr>
          <w:tab/>
        </w:r>
        <w:r>
          <w:rPr>
            <w:noProof/>
          </w:rPr>
          <w:fldChar w:fldCharType="begin" w:fldLock="1"/>
        </w:r>
        <w:r>
          <w:rPr>
            <w:noProof/>
          </w:rPr>
          <w:instrText xml:space="preserve"> PAGEREF _Toc235108042 \h </w:instrText>
        </w:r>
        <w:r>
          <w:rPr>
            <w:noProof/>
          </w:rPr>
        </w:r>
        <w:r>
          <w:rPr>
            <w:noProof/>
          </w:rPr>
          <w:fldChar w:fldCharType="separate"/>
        </w:r>
        <w:r>
          <w:rPr>
            <w:noProof/>
          </w:rPr>
          <w:t>192</w:t>
        </w:r>
        <w:r>
          <w:rPr>
            <w:noProof/>
          </w:rPr>
          <w:fldChar w:fldCharType="end"/>
        </w:r>
      </w:hyperlink>
    </w:p>
    <w:p w14:paraId="125C35CA" w14:textId="77777777" w:rsidR="00E33FDE" w:rsidRDefault="00C72D7D">
      <w:pPr>
        <w:pStyle w:val="TDC1"/>
        <w:tabs>
          <w:tab w:val="right" w:leader="dot" w:pos="9394"/>
        </w:tabs>
        <w:rPr>
          <w:noProof/>
        </w:rPr>
      </w:pPr>
      <w:hyperlink w:anchor="_Toc235108043" w:history="1">
        <w:r>
          <w:rPr>
            <w:rStyle w:val="Hipervnculo"/>
            <w:noProof/>
          </w:rPr>
          <w:t>Marco teórico</w:t>
        </w:r>
        <w:r>
          <w:rPr>
            <w:noProof/>
          </w:rPr>
          <w:tab/>
        </w:r>
        <w:r>
          <w:rPr>
            <w:noProof/>
          </w:rPr>
          <w:fldChar w:fldCharType="begin" w:fldLock="1"/>
        </w:r>
        <w:r>
          <w:rPr>
            <w:noProof/>
          </w:rPr>
          <w:instrText xml:space="preserve"> PAGEREF _Toc235108043 \h </w:instrText>
        </w:r>
        <w:r>
          <w:rPr>
            <w:noProof/>
          </w:rPr>
        </w:r>
        <w:r>
          <w:rPr>
            <w:noProof/>
          </w:rPr>
          <w:fldChar w:fldCharType="separate"/>
        </w:r>
        <w:r>
          <w:rPr>
            <w:noProof/>
          </w:rPr>
          <w:t>196</w:t>
        </w:r>
        <w:r>
          <w:rPr>
            <w:noProof/>
          </w:rPr>
          <w:fldChar w:fldCharType="end"/>
        </w:r>
      </w:hyperlink>
    </w:p>
    <w:p w14:paraId="7688422C" w14:textId="77777777" w:rsidR="00E33FDE" w:rsidRDefault="00C72D7D">
      <w:pPr>
        <w:pStyle w:val="TDC1"/>
        <w:tabs>
          <w:tab w:val="right" w:leader="dot" w:pos="9394"/>
        </w:tabs>
        <w:rPr>
          <w:noProof/>
        </w:rPr>
      </w:pPr>
      <w:hyperlink w:anchor="_Toc235108044" w:history="1">
        <w:r>
          <w:rPr>
            <w:rStyle w:val="Hipervnculo"/>
            <w:noProof/>
          </w:rPr>
          <w:t>Marco conceptu</w:t>
        </w:r>
        <w:r>
          <w:rPr>
            <w:rStyle w:val="Hipervnculo"/>
            <w:noProof/>
          </w:rPr>
          <w:t>al</w:t>
        </w:r>
        <w:r>
          <w:rPr>
            <w:noProof/>
          </w:rPr>
          <w:tab/>
        </w:r>
        <w:r>
          <w:rPr>
            <w:noProof/>
          </w:rPr>
          <w:fldChar w:fldCharType="begin" w:fldLock="1"/>
        </w:r>
        <w:r>
          <w:rPr>
            <w:noProof/>
          </w:rPr>
          <w:instrText xml:space="preserve"> PAGEREF _Toc235108044 \h </w:instrText>
        </w:r>
        <w:r>
          <w:rPr>
            <w:noProof/>
          </w:rPr>
        </w:r>
        <w:r>
          <w:rPr>
            <w:noProof/>
          </w:rPr>
          <w:fldChar w:fldCharType="separate"/>
        </w:r>
        <w:r>
          <w:rPr>
            <w:noProof/>
          </w:rPr>
          <w:t>198</w:t>
        </w:r>
        <w:r>
          <w:rPr>
            <w:noProof/>
          </w:rPr>
          <w:fldChar w:fldCharType="end"/>
        </w:r>
      </w:hyperlink>
    </w:p>
    <w:p w14:paraId="645F903D" w14:textId="77777777" w:rsidR="00E33FDE" w:rsidRDefault="00C72D7D">
      <w:pPr>
        <w:pStyle w:val="TDC2"/>
        <w:tabs>
          <w:tab w:val="right" w:leader="dot" w:pos="9394"/>
        </w:tabs>
        <w:rPr>
          <w:noProof/>
        </w:rPr>
      </w:pPr>
      <w:hyperlink w:anchor="_Toc235108045" w:history="1">
        <w:r>
          <w:rPr>
            <w:rStyle w:val="Hipervnculo"/>
            <w:noProof/>
          </w:rPr>
          <w:t>Transición Energética Justa como categoría analítica multidimensional</w:t>
        </w:r>
        <w:r>
          <w:rPr>
            <w:noProof/>
          </w:rPr>
          <w:tab/>
        </w:r>
        <w:r>
          <w:rPr>
            <w:noProof/>
          </w:rPr>
          <w:fldChar w:fldCharType="begin" w:fldLock="1"/>
        </w:r>
        <w:r>
          <w:rPr>
            <w:noProof/>
          </w:rPr>
          <w:instrText xml:space="preserve"> PAGEREF _Toc235108045 \h </w:instrText>
        </w:r>
        <w:r>
          <w:rPr>
            <w:noProof/>
          </w:rPr>
        </w:r>
        <w:r>
          <w:rPr>
            <w:noProof/>
          </w:rPr>
          <w:fldChar w:fldCharType="separate"/>
        </w:r>
        <w:r>
          <w:rPr>
            <w:noProof/>
          </w:rPr>
          <w:t>198</w:t>
        </w:r>
        <w:r>
          <w:rPr>
            <w:noProof/>
          </w:rPr>
          <w:fldChar w:fldCharType="end"/>
        </w:r>
      </w:hyperlink>
    </w:p>
    <w:p w14:paraId="412D508C" w14:textId="77777777" w:rsidR="00E33FDE" w:rsidRDefault="00C72D7D">
      <w:pPr>
        <w:pStyle w:val="TDC2"/>
        <w:tabs>
          <w:tab w:val="right" w:leader="dot" w:pos="9394"/>
        </w:tabs>
        <w:rPr>
          <w:noProof/>
        </w:rPr>
      </w:pPr>
      <w:hyperlink w:anchor="_Toc235108046" w:history="1">
        <w:r>
          <w:rPr>
            <w:rStyle w:val="Hipervnculo"/>
            <w:noProof/>
          </w:rPr>
          <w:t>Gestión del conocimiento como capacidad institucional</w:t>
        </w:r>
        <w:r>
          <w:rPr>
            <w:noProof/>
          </w:rPr>
          <w:tab/>
        </w:r>
        <w:r>
          <w:rPr>
            <w:noProof/>
          </w:rPr>
          <w:fldChar w:fldCharType="begin" w:fldLock="1"/>
        </w:r>
        <w:r>
          <w:rPr>
            <w:noProof/>
          </w:rPr>
          <w:instrText xml:space="preserve"> PAGEREF _Toc235108046 \h </w:instrText>
        </w:r>
        <w:r>
          <w:rPr>
            <w:noProof/>
          </w:rPr>
        </w:r>
        <w:r>
          <w:rPr>
            <w:noProof/>
          </w:rPr>
          <w:fldChar w:fldCharType="separate"/>
        </w:r>
        <w:r>
          <w:rPr>
            <w:noProof/>
          </w:rPr>
          <w:t>200</w:t>
        </w:r>
        <w:r>
          <w:rPr>
            <w:noProof/>
          </w:rPr>
          <w:fldChar w:fldCharType="end"/>
        </w:r>
      </w:hyperlink>
    </w:p>
    <w:p w14:paraId="0277E347" w14:textId="77777777" w:rsidR="00E33FDE" w:rsidRDefault="00C72D7D">
      <w:pPr>
        <w:pStyle w:val="TDC2"/>
        <w:tabs>
          <w:tab w:val="right" w:leader="dot" w:pos="9394"/>
        </w:tabs>
        <w:rPr>
          <w:noProof/>
        </w:rPr>
      </w:pPr>
      <w:hyperlink w:anchor="_Toc235108047" w:history="1">
        <w:r>
          <w:rPr>
            <w:rStyle w:val="Hipervnculo"/>
            <w:noProof/>
          </w:rPr>
          <w:t>Integración analítica como capacidad institucional estratégica</w:t>
        </w:r>
        <w:r>
          <w:rPr>
            <w:noProof/>
          </w:rPr>
          <w:tab/>
        </w:r>
        <w:r>
          <w:rPr>
            <w:noProof/>
          </w:rPr>
          <w:fldChar w:fldCharType="begin" w:fldLock="1"/>
        </w:r>
        <w:r>
          <w:rPr>
            <w:noProof/>
          </w:rPr>
          <w:instrText xml:space="preserve"> PAGEREF _Toc235108047 \h </w:instrText>
        </w:r>
        <w:r>
          <w:rPr>
            <w:noProof/>
          </w:rPr>
        </w:r>
        <w:r>
          <w:rPr>
            <w:noProof/>
          </w:rPr>
          <w:fldChar w:fldCharType="separate"/>
        </w:r>
        <w:r>
          <w:rPr>
            <w:noProof/>
          </w:rPr>
          <w:t>200</w:t>
        </w:r>
        <w:r>
          <w:rPr>
            <w:noProof/>
          </w:rPr>
          <w:fldChar w:fldCharType="end"/>
        </w:r>
      </w:hyperlink>
    </w:p>
    <w:p w14:paraId="4C56DB28" w14:textId="77777777" w:rsidR="00E33FDE" w:rsidRDefault="00C72D7D">
      <w:pPr>
        <w:pStyle w:val="TDC2"/>
        <w:tabs>
          <w:tab w:val="right" w:leader="dot" w:pos="9394"/>
        </w:tabs>
        <w:rPr>
          <w:noProof/>
        </w:rPr>
      </w:pPr>
      <w:hyperlink w:anchor="_Toc235108048" w:history="1">
        <w:r>
          <w:rPr>
            <w:rStyle w:val="Hipervnculo"/>
            <w:noProof/>
          </w:rPr>
          <w:t>Caracterización estratégica de a</w:t>
        </w:r>
        <w:r>
          <w:rPr>
            <w:rStyle w:val="Hipervnculo"/>
            <w:noProof/>
          </w:rPr>
          <w:t>ctores y grupos de valor</w:t>
        </w:r>
        <w:r>
          <w:rPr>
            <w:noProof/>
          </w:rPr>
          <w:tab/>
        </w:r>
        <w:r>
          <w:rPr>
            <w:noProof/>
          </w:rPr>
          <w:fldChar w:fldCharType="begin" w:fldLock="1"/>
        </w:r>
        <w:r>
          <w:rPr>
            <w:noProof/>
          </w:rPr>
          <w:instrText xml:space="preserve"> PAGEREF _Toc235108048 \h </w:instrText>
        </w:r>
        <w:r>
          <w:rPr>
            <w:noProof/>
          </w:rPr>
        </w:r>
        <w:r>
          <w:rPr>
            <w:noProof/>
          </w:rPr>
          <w:fldChar w:fldCharType="separate"/>
        </w:r>
        <w:r>
          <w:rPr>
            <w:noProof/>
          </w:rPr>
          <w:t>201</w:t>
        </w:r>
        <w:r>
          <w:rPr>
            <w:noProof/>
          </w:rPr>
          <w:fldChar w:fldCharType="end"/>
        </w:r>
      </w:hyperlink>
    </w:p>
    <w:p w14:paraId="3B22687F" w14:textId="77777777" w:rsidR="00E33FDE" w:rsidRDefault="00C72D7D">
      <w:pPr>
        <w:pStyle w:val="TDC2"/>
        <w:tabs>
          <w:tab w:val="right" w:leader="dot" w:pos="9394"/>
        </w:tabs>
        <w:rPr>
          <w:noProof/>
        </w:rPr>
      </w:pPr>
      <w:hyperlink w:anchor="_Toc235108049" w:history="1">
        <w:r>
          <w:rPr>
            <w:rStyle w:val="Hipervnculo"/>
            <w:noProof/>
          </w:rPr>
          <w:t>Interrelación conceptual entre TEJ, análisis estratégico y gobernanza sectorial</w:t>
        </w:r>
        <w:r>
          <w:rPr>
            <w:noProof/>
          </w:rPr>
          <w:tab/>
        </w:r>
        <w:r>
          <w:rPr>
            <w:noProof/>
          </w:rPr>
          <w:fldChar w:fldCharType="begin" w:fldLock="1"/>
        </w:r>
        <w:r>
          <w:rPr>
            <w:noProof/>
          </w:rPr>
          <w:instrText xml:space="preserve"> PAGEREF _Toc2351080</w:instrText>
        </w:r>
        <w:r>
          <w:rPr>
            <w:noProof/>
          </w:rPr>
          <w:instrText xml:space="preserve">49 \h </w:instrText>
        </w:r>
        <w:r>
          <w:rPr>
            <w:noProof/>
          </w:rPr>
        </w:r>
        <w:r>
          <w:rPr>
            <w:noProof/>
          </w:rPr>
          <w:fldChar w:fldCharType="separate"/>
        </w:r>
        <w:r>
          <w:rPr>
            <w:noProof/>
          </w:rPr>
          <w:t>202</w:t>
        </w:r>
        <w:r>
          <w:rPr>
            <w:noProof/>
          </w:rPr>
          <w:fldChar w:fldCharType="end"/>
        </w:r>
      </w:hyperlink>
    </w:p>
    <w:p w14:paraId="320FAE3F" w14:textId="77777777" w:rsidR="00E33FDE" w:rsidRDefault="00C72D7D">
      <w:pPr>
        <w:pStyle w:val="TDC1"/>
        <w:tabs>
          <w:tab w:val="right" w:leader="dot" w:pos="9394"/>
        </w:tabs>
        <w:rPr>
          <w:noProof/>
        </w:rPr>
      </w:pPr>
      <w:hyperlink w:anchor="_Toc235108050" w:history="1">
        <w:r>
          <w:rPr>
            <w:rStyle w:val="Hipervnculo"/>
            <w:noProof/>
          </w:rPr>
          <w:t>Marco normativo</w:t>
        </w:r>
        <w:r>
          <w:rPr>
            <w:noProof/>
          </w:rPr>
          <w:tab/>
        </w:r>
        <w:r>
          <w:rPr>
            <w:noProof/>
          </w:rPr>
          <w:fldChar w:fldCharType="begin" w:fldLock="1"/>
        </w:r>
        <w:r>
          <w:rPr>
            <w:noProof/>
          </w:rPr>
          <w:instrText xml:space="preserve"> PAGEREF _Toc235108050 \h </w:instrText>
        </w:r>
        <w:r>
          <w:rPr>
            <w:noProof/>
          </w:rPr>
        </w:r>
        <w:r>
          <w:rPr>
            <w:noProof/>
          </w:rPr>
          <w:fldChar w:fldCharType="separate"/>
        </w:r>
        <w:r>
          <w:rPr>
            <w:noProof/>
          </w:rPr>
          <w:t>203</w:t>
        </w:r>
        <w:r>
          <w:rPr>
            <w:noProof/>
          </w:rPr>
          <w:fldChar w:fldCharType="end"/>
        </w:r>
      </w:hyperlink>
    </w:p>
    <w:p w14:paraId="1E9C861F" w14:textId="77777777" w:rsidR="00E33FDE" w:rsidRDefault="00C72D7D">
      <w:pPr>
        <w:pStyle w:val="TDC1"/>
        <w:tabs>
          <w:tab w:val="right" w:leader="dot" w:pos="9394"/>
        </w:tabs>
        <w:rPr>
          <w:noProof/>
        </w:rPr>
      </w:pPr>
      <w:hyperlink w:anchor="_Toc235108051" w:history="1">
        <w:r>
          <w:rPr>
            <w:rStyle w:val="Hipervnculo"/>
            <w:noProof/>
          </w:rPr>
          <w:t>Problemática</w:t>
        </w:r>
        <w:r>
          <w:rPr>
            <w:noProof/>
          </w:rPr>
          <w:tab/>
        </w:r>
        <w:r>
          <w:rPr>
            <w:noProof/>
          </w:rPr>
          <w:fldChar w:fldCharType="begin" w:fldLock="1"/>
        </w:r>
        <w:r>
          <w:rPr>
            <w:noProof/>
          </w:rPr>
          <w:instrText xml:space="preserve"> PAGEREF _Toc235108051 \h </w:instrText>
        </w:r>
        <w:r>
          <w:rPr>
            <w:noProof/>
          </w:rPr>
        </w:r>
        <w:r>
          <w:rPr>
            <w:noProof/>
          </w:rPr>
          <w:fldChar w:fldCharType="separate"/>
        </w:r>
        <w:r>
          <w:rPr>
            <w:noProof/>
          </w:rPr>
          <w:t>205</w:t>
        </w:r>
        <w:r>
          <w:rPr>
            <w:noProof/>
          </w:rPr>
          <w:fldChar w:fldCharType="end"/>
        </w:r>
      </w:hyperlink>
    </w:p>
    <w:p w14:paraId="75D227ED" w14:textId="77777777" w:rsidR="00E33FDE" w:rsidRDefault="00C72D7D">
      <w:pPr>
        <w:pStyle w:val="TDC2"/>
        <w:tabs>
          <w:tab w:val="right" w:leader="dot" w:pos="9394"/>
        </w:tabs>
        <w:rPr>
          <w:noProof/>
        </w:rPr>
      </w:pPr>
      <w:hyperlink w:anchor="_Toc235108052" w:history="1">
        <w:r>
          <w:rPr>
            <w:rStyle w:val="Hipervnculo"/>
            <w:noProof/>
          </w:rPr>
          <w:t>Naturaleza del problema: debilidad analítica como brecha institucional</w:t>
        </w:r>
        <w:r>
          <w:rPr>
            <w:noProof/>
          </w:rPr>
          <w:tab/>
        </w:r>
        <w:r>
          <w:rPr>
            <w:noProof/>
          </w:rPr>
          <w:fldChar w:fldCharType="begin" w:fldLock="1"/>
        </w:r>
        <w:r>
          <w:rPr>
            <w:noProof/>
          </w:rPr>
          <w:instrText xml:space="preserve"> PAGEREF _Toc235108052 \h </w:instrText>
        </w:r>
        <w:r>
          <w:rPr>
            <w:noProof/>
          </w:rPr>
        </w:r>
        <w:r>
          <w:rPr>
            <w:noProof/>
          </w:rPr>
          <w:fldChar w:fldCharType="separate"/>
        </w:r>
        <w:r>
          <w:rPr>
            <w:noProof/>
          </w:rPr>
          <w:t>205</w:t>
        </w:r>
        <w:r>
          <w:rPr>
            <w:noProof/>
          </w:rPr>
          <w:fldChar w:fldCharType="end"/>
        </w:r>
      </w:hyperlink>
    </w:p>
    <w:p w14:paraId="1A52B90B" w14:textId="77777777" w:rsidR="00E33FDE" w:rsidRDefault="00C72D7D">
      <w:pPr>
        <w:pStyle w:val="TDC2"/>
        <w:tabs>
          <w:tab w:val="right" w:leader="dot" w:pos="9394"/>
        </w:tabs>
        <w:rPr>
          <w:noProof/>
        </w:rPr>
      </w:pPr>
      <w:hyperlink w:anchor="_Toc235108053" w:history="1">
        <w:r>
          <w:rPr>
            <w:rStyle w:val="Hipervnculo"/>
            <w:noProof/>
          </w:rPr>
          <w:t>Causas estructurales del problema</w:t>
        </w:r>
        <w:r>
          <w:rPr>
            <w:noProof/>
          </w:rPr>
          <w:tab/>
        </w:r>
        <w:r>
          <w:rPr>
            <w:noProof/>
          </w:rPr>
          <w:fldChar w:fldCharType="begin" w:fldLock="1"/>
        </w:r>
        <w:r>
          <w:rPr>
            <w:noProof/>
          </w:rPr>
          <w:instrText xml:space="preserve"> PAGEREF _Toc235108053 \h </w:instrText>
        </w:r>
        <w:r>
          <w:rPr>
            <w:noProof/>
          </w:rPr>
        </w:r>
        <w:r>
          <w:rPr>
            <w:noProof/>
          </w:rPr>
          <w:fldChar w:fldCharType="separate"/>
        </w:r>
        <w:r>
          <w:rPr>
            <w:noProof/>
          </w:rPr>
          <w:t>207</w:t>
        </w:r>
        <w:r>
          <w:rPr>
            <w:noProof/>
          </w:rPr>
          <w:fldChar w:fldCharType="end"/>
        </w:r>
      </w:hyperlink>
    </w:p>
    <w:p w14:paraId="72919DE8" w14:textId="77777777" w:rsidR="00E33FDE" w:rsidRDefault="00C72D7D">
      <w:pPr>
        <w:pStyle w:val="TDC2"/>
        <w:tabs>
          <w:tab w:val="right" w:leader="dot" w:pos="9394"/>
        </w:tabs>
        <w:rPr>
          <w:noProof/>
        </w:rPr>
      </w:pPr>
      <w:hyperlink w:anchor="_Toc235108054" w:history="1">
        <w:r>
          <w:rPr>
            <w:rStyle w:val="Hipervnculo"/>
            <w:noProof/>
          </w:rPr>
          <w:t>Relación entre el problema identificado y el objetivo del proyecto</w:t>
        </w:r>
        <w:r>
          <w:rPr>
            <w:noProof/>
          </w:rPr>
          <w:tab/>
        </w:r>
        <w:r>
          <w:rPr>
            <w:noProof/>
          </w:rPr>
          <w:fldChar w:fldCharType="begin" w:fldLock="1"/>
        </w:r>
        <w:r>
          <w:rPr>
            <w:noProof/>
          </w:rPr>
          <w:instrText xml:space="preserve"> PAGEREF _Toc235108054 \h </w:instrText>
        </w:r>
        <w:r>
          <w:rPr>
            <w:noProof/>
          </w:rPr>
        </w:r>
        <w:r>
          <w:rPr>
            <w:noProof/>
          </w:rPr>
          <w:fldChar w:fldCharType="separate"/>
        </w:r>
        <w:r>
          <w:rPr>
            <w:noProof/>
          </w:rPr>
          <w:t>208</w:t>
        </w:r>
        <w:r>
          <w:rPr>
            <w:noProof/>
          </w:rPr>
          <w:fldChar w:fldCharType="end"/>
        </w:r>
      </w:hyperlink>
    </w:p>
    <w:p w14:paraId="5763AEFD" w14:textId="77777777" w:rsidR="00E33FDE" w:rsidRDefault="00C72D7D">
      <w:pPr>
        <w:pStyle w:val="TDC2"/>
        <w:tabs>
          <w:tab w:val="right" w:leader="dot" w:pos="9394"/>
        </w:tabs>
        <w:rPr>
          <w:noProof/>
        </w:rPr>
      </w:pPr>
      <w:hyperlink w:anchor="_Toc235108055" w:history="1">
        <w:r>
          <w:rPr>
            <w:rStyle w:val="Hipervnculo"/>
            <w:noProof/>
          </w:rPr>
          <w:t>Alternativa seleccionada como intervención estructural</w:t>
        </w:r>
        <w:r>
          <w:rPr>
            <w:noProof/>
          </w:rPr>
          <w:tab/>
        </w:r>
        <w:r>
          <w:rPr>
            <w:noProof/>
          </w:rPr>
          <w:fldChar w:fldCharType="begin" w:fldLock="1"/>
        </w:r>
        <w:r>
          <w:rPr>
            <w:noProof/>
          </w:rPr>
          <w:instrText xml:space="preserve"> PAGEREF _Toc235108055 \h </w:instrText>
        </w:r>
        <w:r>
          <w:rPr>
            <w:noProof/>
          </w:rPr>
        </w:r>
        <w:r>
          <w:rPr>
            <w:noProof/>
          </w:rPr>
          <w:fldChar w:fldCharType="separate"/>
        </w:r>
        <w:r>
          <w:rPr>
            <w:noProof/>
          </w:rPr>
          <w:t>209</w:t>
        </w:r>
        <w:r>
          <w:rPr>
            <w:noProof/>
          </w:rPr>
          <w:fldChar w:fldCharType="end"/>
        </w:r>
      </w:hyperlink>
    </w:p>
    <w:p w14:paraId="263CF45B" w14:textId="77777777" w:rsidR="00E33FDE" w:rsidRDefault="00C72D7D">
      <w:pPr>
        <w:pStyle w:val="TDC1"/>
        <w:tabs>
          <w:tab w:val="right" w:leader="dot" w:pos="9394"/>
        </w:tabs>
        <w:rPr>
          <w:noProof/>
        </w:rPr>
      </w:pPr>
      <w:hyperlink w:anchor="_Toc235108056" w:history="1">
        <w:r>
          <w:rPr>
            <w:rStyle w:val="Hipervnculo"/>
            <w:noProof/>
          </w:rPr>
          <w:t>Hipótesis</w:t>
        </w:r>
        <w:r>
          <w:rPr>
            <w:noProof/>
          </w:rPr>
          <w:tab/>
        </w:r>
        <w:r>
          <w:rPr>
            <w:noProof/>
          </w:rPr>
          <w:fldChar w:fldCharType="begin" w:fldLock="1"/>
        </w:r>
        <w:r>
          <w:rPr>
            <w:noProof/>
          </w:rPr>
          <w:instrText xml:space="preserve"> PAGEREF _Toc2351080</w:instrText>
        </w:r>
        <w:r>
          <w:rPr>
            <w:noProof/>
          </w:rPr>
          <w:instrText xml:space="preserve">56 \h </w:instrText>
        </w:r>
        <w:r>
          <w:rPr>
            <w:noProof/>
          </w:rPr>
        </w:r>
        <w:r>
          <w:rPr>
            <w:noProof/>
          </w:rPr>
          <w:fldChar w:fldCharType="separate"/>
        </w:r>
        <w:r>
          <w:rPr>
            <w:noProof/>
          </w:rPr>
          <w:t>210</w:t>
        </w:r>
        <w:r>
          <w:rPr>
            <w:noProof/>
          </w:rPr>
          <w:fldChar w:fldCharType="end"/>
        </w:r>
      </w:hyperlink>
    </w:p>
    <w:p w14:paraId="0B7715BD" w14:textId="77777777" w:rsidR="00E33FDE" w:rsidRDefault="00C72D7D">
      <w:pPr>
        <w:pStyle w:val="TDC1"/>
        <w:tabs>
          <w:tab w:val="right" w:leader="dot" w:pos="9394"/>
        </w:tabs>
        <w:rPr>
          <w:noProof/>
        </w:rPr>
      </w:pPr>
      <w:hyperlink w:anchor="_Toc235108057" w:history="1">
        <w:r>
          <w:rPr>
            <w:rStyle w:val="Hipervnculo"/>
            <w:noProof/>
          </w:rPr>
          <w:t>Objetivos</w:t>
        </w:r>
        <w:r>
          <w:rPr>
            <w:noProof/>
          </w:rPr>
          <w:tab/>
        </w:r>
        <w:r>
          <w:rPr>
            <w:noProof/>
          </w:rPr>
          <w:fldChar w:fldCharType="begin" w:fldLock="1"/>
        </w:r>
        <w:r>
          <w:rPr>
            <w:noProof/>
          </w:rPr>
          <w:instrText xml:space="preserve"> PAGEREF _Toc235108057 \h </w:instrText>
        </w:r>
        <w:r>
          <w:rPr>
            <w:noProof/>
          </w:rPr>
        </w:r>
        <w:r>
          <w:rPr>
            <w:noProof/>
          </w:rPr>
          <w:fldChar w:fldCharType="separate"/>
        </w:r>
        <w:r>
          <w:rPr>
            <w:noProof/>
          </w:rPr>
          <w:t>210</w:t>
        </w:r>
        <w:r>
          <w:rPr>
            <w:noProof/>
          </w:rPr>
          <w:fldChar w:fldCharType="end"/>
        </w:r>
      </w:hyperlink>
    </w:p>
    <w:p w14:paraId="72899C7E" w14:textId="77777777" w:rsidR="00E33FDE" w:rsidRDefault="00C72D7D">
      <w:pPr>
        <w:pStyle w:val="TDC2"/>
        <w:tabs>
          <w:tab w:val="right" w:leader="dot" w:pos="9394"/>
        </w:tabs>
        <w:rPr>
          <w:noProof/>
        </w:rPr>
      </w:pPr>
      <w:hyperlink w:anchor="_Toc235108058" w:history="1">
        <w:r>
          <w:rPr>
            <w:rStyle w:val="Hipervnculo"/>
            <w:noProof/>
          </w:rPr>
          <w:t>Objeti</w:t>
        </w:r>
        <w:r>
          <w:rPr>
            <w:rStyle w:val="Hipervnculo"/>
            <w:noProof/>
          </w:rPr>
          <w:t>vo general:</w:t>
        </w:r>
        <w:r>
          <w:rPr>
            <w:noProof/>
          </w:rPr>
          <w:tab/>
        </w:r>
        <w:r>
          <w:rPr>
            <w:noProof/>
          </w:rPr>
          <w:fldChar w:fldCharType="begin" w:fldLock="1"/>
        </w:r>
        <w:r>
          <w:rPr>
            <w:noProof/>
          </w:rPr>
          <w:instrText xml:space="preserve"> PAGEREF _Toc235108058 \h </w:instrText>
        </w:r>
        <w:r>
          <w:rPr>
            <w:noProof/>
          </w:rPr>
        </w:r>
        <w:r>
          <w:rPr>
            <w:noProof/>
          </w:rPr>
          <w:fldChar w:fldCharType="separate"/>
        </w:r>
        <w:r>
          <w:rPr>
            <w:noProof/>
          </w:rPr>
          <w:t>210</w:t>
        </w:r>
        <w:r>
          <w:rPr>
            <w:noProof/>
          </w:rPr>
          <w:fldChar w:fldCharType="end"/>
        </w:r>
      </w:hyperlink>
    </w:p>
    <w:p w14:paraId="24458DC1" w14:textId="77777777" w:rsidR="00E33FDE" w:rsidRDefault="00C72D7D">
      <w:pPr>
        <w:pStyle w:val="TDC2"/>
        <w:tabs>
          <w:tab w:val="right" w:leader="dot" w:pos="9394"/>
        </w:tabs>
        <w:rPr>
          <w:noProof/>
        </w:rPr>
      </w:pPr>
      <w:hyperlink w:anchor="_Toc235108059" w:history="1">
        <w:r>
          <w:rPr>
            <w:rStyle w:val="Hipervnculo"/>
            <w:noProof/>
          </w:rPr>
          <w:t>Objetivos específicos:</w:t>
        </w:r>
        <w:r>
          <w:rPr>
            <w:noProof/>
          </w:rPr>
          <w:tab/>
        </w:r>
        <w:r>
          <w:rPr>
            <w:noProof/>
          </w:rPr>
          <w:fldChar w:fldCharType="begin" w:fldLock="1"/>
        </w:r>
        <w:r>
          <w:rPr>
            <w:noProof/>
          </w:rPr>
          <w:instrText xml:space="preserve"> PAGEREF _Toc235108059 \h </w:instrText>
        </w:r>
        <w:r>
          <w:rPr>
            <w:noProof/>
          </w:rPr>
        </w:r>
        <w:r>
          <w:rPr>
            <w:noProof/>
          </w:rPr>
          <w:fldChar w:fldCharType="separate"/>
        </w:r>
        <w:r>
          <w:rPr>
            <w:noProof/>
          </w:rPr>
          <w:t>210</w:t>
        </w:r>
        <w:r>
          <w:rPr>
            <w:noProof/>
          </w:rPr>
          <w:fldChar w:fldCharType="end"/>
        </w:r>
      </w:hyperlink>
    </w:p>
    <w:p w14:paraId="1B5BE1E2" w14:textId="77777777" w:rsidR="00E33FDE" w:rsidRDefault="00C72D7D">
      <w:pPr>
        <w:pStyle w:val="TDC1"/>
        <w:tabs>
          <w:tab w:val="right" w:leader="dot" w:pos="9394"/>
        </w:tabs>
        <w:rPr>
          <w:noProof/>
        </w:rPr>
      </w:pPr>
      <w:hyperlink w:anchor="_Toc235108060" w:history="1">
        <w:r>
          <w:rPr>
            <w:rStyle w:val="Hipervnculo"/>
            <w:noProof/>
          </w:rPr>
          <w:t>Metodología</w:t>
        </w:r>
        <w:r>
          <w:rPr>
            <w:noProof/>
          </w:rPr>
          <w:tab/>
        </w:r>
        <w:r>
          <w:rPr>
            <w:noProof/>
          </w:rPr>
          <w:fldChar w:fldCharType="begin" w:fldLock="1"/>
        </w:r>
        <w:r>
          <w:rPr>
            <w:noProof/>
          </w:rPr>
          <w:instrText xml:space="preserve"> PAGEREF _Toc235108060 \h </w:instrText>
        </w:r>
        <w:r>
          <w:rPr>
            <w:noProof/>
          </w:rPr>
        </w:r>
        <w:r>
          <w:rPr>
            <w:noProof/>
          </w:rPr>
          <w:fldChar w:fldCharType="separate"/>
        </w:r>
        <w:r>
          <w:rPr>
            <w:noProof/>
          </w:rPr>
          <w:t>211</w:t>
        </w:r>
        <w:r>
          <w:rPr>
            <w:noProof/>
          </w:rPr>
          <w:fldChar w:fldCharType="end"/>
        </w:r>
      </w:hyperlink>
    </w:p>
    <w:p w14:paraId="2EF55A7E" w14:textId="77777777" w:rsidR="00E33FDE" w:rsidRDefault="00C72D7D">
      <w:pPr>
        <w:pStyle w:val="TDC2"/>
        <w:tabs>
          <w:tab w:val="right" w:leader="dot" w:pos="9394"/>
        </w:tabs>
        <w:rPr>
          <w:noProof/>
        </w:rPr>
      </w:pPr>
      <w:hyperlink w:anchor="_Toc235108061" w:history="1">
        <w:r>
          <w:rPr>
            <w:rStyle w:val="Hipervnculo"/>
            <w:noProof/>
          </w:rPr>
          <w:t>Naturaleza insti</w:t>
        </w:r>
        <w:r>
          <w:rPr>
            <w:rStyle w:val="Hipervnculo"/>
            <w:noProof/>
          </w:rPr>
          <w:t>tucional del Pivote Transversal</w:t>
        </w:r>
        <w:r>
          <w:rPr>
            <w:noProof/>
          </w:rPr>
          <w:tab/>
        </w:r>
        <w:r>
          <w:rPr>
            <w:noProof/>
          </w:rPr>
          <w:fldChar w:fldCharType="begin" w:fldLock="1"/>
        </w:r>
        <w:r>
          <w:rPr>
            <w:noProof/>
          </w:rPr>
          <w:instrText xml:space="preserve"> PAGEREF _Toc235108061 \h </w:instrText>
        </w:r>
        <w:r>
          <w:rPr>
            <w:noProof/>
          </w:rPr>
        </w:r>
        <w:r>
          <w:rPr>
            <w:noProof/>
          </w:rPr>
          <w:fldChar w:fldCharType="separate"/>
        </w:r>
        <w:r>
          <w:rPr>
            <w:noProof/>
          </w:rPr>
          <w:t>211</w:t>
        </w:r>
        <w:r>
          <w:rPr>
            <w:noProof/>
          </w:rPr>
          <w:fldChar w:fldCharType="end"/>
        </w:r>
      </w:hyperlink>
    </w:p>
    <w:p w14:paraId="159D60E1" w14:textId="77777777" w:rsidR="00E33FDE" w:rsidRDefault="00C72D7D">
      <w:pPr>
        <w:pStyle w:val="TDC2"/>
        <w:tabs>
          <w:tab w:val="right" w:leader="dot" w:pos="9394"/>
        </w:tabs>
        <w:rPr>
          <w:noProof/>
        </w:rPr>
      </w:pPr>
      <w:hyperlink w:anchor="_Toc235108062" w:history="1">
        <w:r>
          <w:rPr>
            <w:rStyle w:val="Hipervnculo"/>
            <w:noProof/>
          </w:rPr>
          <w:t>Principios de articulación intersectorial</w:t>
        </w:r>
        <w:r>
          <w:rPr>
            <w:noProof/>
          </w:rPr>
          <w:tab/>
        </w:r>
        <w:r>
          <w:rPr>
            <w:noProof/>
          </w:rPr>
          <w:fldChar w:fldCharType="begin" w:fldLock="1"/>
        </w:r>
        <w:r>
          <w:rPr>
            <w:noProof/>
          </w:rPr>
          <w:instrText xml:space="preserve"> PAGEREF _Toc235108062 \h </w:instrText>
        </w:r>
        <w:r>
          <w:rPr>
            <w:noProof/>
          </w:rPr>
        </w:r>
        <w:r>
          <w:rPr>
            <w:noProof/>
          </w:rPr>
          <w:fldChar w:fldCharType="separate"/>
        </w:r>
        <w:r>
          <w:rPr>
            <w:noProof/>
          </w:rPr>
          <w:t>212</w:t>
        </w:r>
        <w:r>
          <w:rPr>
            <w:noProof/>
          </w:rPr>
          <w:fldChar w:fldCharType="end"/>
        </w:r>
      </w:hyperlink>
    </w:p>
    <w:p w14:paraId="519A47B1" w14:textId="77777777" w:rsidR="00E33FDE" w:rsidRDefault="00C72D7D">
      <w:pPr>
        <w:pStyle w:val="TDC2"/>
        <w:tabs>
          <w:tab w:val="right" w:leader="dot" w:pos="9394"/>
        </w:tabs>
        <w:rPr>
          <w:noProof/>
        </w:rPr>
      </w:pPr>
      <w:hyperlink w:anchor="_Toc235108063" w:history="1">
        <w:r>
          <w:rPr>
            <w:rStyle w:val="Hipervnculo"/>
            <w:noProof/>
          </w:rPr>
          <w:t>Componentes estructurales del modelo operativo</w:t>
        </w:r>
        <w:r>
          <w:rPr>
            <w:noProof/>
          </w:rPr>
          <w:tab/>
        </w:r>
        <w:r>
          <w:rPr>
            <w:noProof/>
          </w:rPr>
          <w:fldChar w:fldCharType="begin" w:fldLock="1"/>
        </w:r>
        <w:r>
          <w:rPr>
            <w:noProof/>
          </w:rPr>
          <w:instrText xml:space="preserve"> PAGEREF _Toc235108063 \h </w:instrText>
        </w:r>
        <w:r>
          <w:rPr>
            <w:noProof/>
          </w:rPr>
        </w:r>
        <w:r>
          <w:rPr>
            <w:noProof/>
          </w:rPr>
          <w:fldChar w:fldCharType="separate"/>
        </w:r>
        <w:r>
          <w:rPr>
            <w:noProof/>
          </w:rPr>
          <w:t>213</w:t>
        </w:r>
        <w:r>
          <w:rPr>
            <w:noProof/>
          </w:rPr>
          <w:fldChar w:fldCharType="end"/>
        </w:r>
      </w:hyperlink>
    </w:p>
    <w:p w14:paraId="26BD34BC" w14:textId="77777777" w:rsidR="00E33FDE" w:rsidRDefault="00C72D7D">
      <w:pPr>
        <w:pStyle w:val="TDC2"/>
        <w:tabs>
          <w:tab w:val="right" w:leader="dot" w:pos="9394"/>
        </w:tabs>
        <w:rPr>
          <w:noProof/>
        </w:rPr>
      </w:pPr>
      <w:hyperlink w:anchor="_Toc235108064" w:history="1">
        <w:r>
          <w:rPr>
            <w:rStyle w:val="Hipervnculo"/>
            <w:noProof/>
          </w:rPr>
          <w:t>Flujo operativo del Pivote Transversal</w:t>
        </w:r>
        <w:r>
          <w:rPr>
            <w:noProof/>
          </w:rPr>
          <w:tab/>
        </w:r>
        <w:r>
          <w:rPr>
            <w:noProof/>
          </w:rPr>
          <w:fldChar w:fldCharType="begin" w:fldLock="1"/>
        </w:r>
        <w:r>
          <w:rPr>
            <w:noProof/>
          </w:rPr>
          <w:instrText xml:space="preserve"> PAGEREF _Toc235108064 \h </w:instrText>
        </w:r>
        <w:r>
          <w:rPr>
            <w:noProof/>
          </w:rPr>
        </w:r>
        <w:r>
          <w:rPr>
            <w:noProof/>
          </w:rPr>
          <w:fldChar w:fldCharType="separate"/>
        </w:r>
        <w:r>
          <w:rPr>
            <w:noProof/>
          </w:rPr>
          <w:t>214</w:t>
        </w:r>
        <w:r>
          <w:rPr>
            <w:noProof/>
          </w:rPr>
          <w:fldChar w:fldCharType="end"/>
        </w:r>
      </w:hyperlink>
    </w:p>
    <w:p w14:paraId="439CC532" w14:textId="77777777" w:rsidR="00E33FDE" w:rsidRDefault="00C72D7D">
      <w:pPr>
        <w:pStyle w:val="TDC2"/>
        <w:tabs>
          <w:tab w:val="right" w:leader="dot" w:pos="9394"/>
        </w:tabs>
        <w:rPr>
          <w:noProof/>
        </w:rPr>
      </w:pPr>
      <w:hyperlink w:anchor="_Toc235108065" w:history="1">
        <w:r>
          <w:rPr>
            <w:rStyle w:val="Hipervnculo"/>
            <w:noProof/>
          </w:rPr>
          <w:t>Relación con la cadena de valor del proyecto de inversión</w:t>
        </w:r>
        <w:r>
          <w:rPr>
            <w:noProof/>
          </w:rPr>
          <w:tab/>
        </w:r>
        <w:r>
          <w:rPr>
            <w:noProof/>
          </w:rPr>
          <w:fldChar w:fldCharType="begin" w:fldLock="1"/>
        </w:r>
        <w:r>
          <w:rPr>
            <w:noProof/>
          </w:rPr>
          <w:instrText xml:space="preserve"> PAGEREF _Toc235108065 \h </w:instrText>
        </w:r>
        <w:r>
          <w:rPr>
            <w:noProof/>
          </w:rPr>
        </w:r>
        <w:r>
          <w:rPr>
            <w:noProof/>
          </w:rPr>
          <w:fldChar w:fldCharType="separate"/>
        </w:r>
        <w:r>
          <w:rPr>
            <w:noProof/>
          </w:rPr>
          <w:t>215</w:t>
        </w:r>
        <w:r>
          <w:rPr>
            <w:noProof/>
          </w:rPr>
          <w:fldChar w:fldCharType="end"/>
        </w:r>
      </w:hyperlink>
    </w:p>
    <w:p w14:paraId="7045F224" w14:textId="77777777" w:rsidR="00E33FDE" w:rsidRDefault="00C72D7D">
      <w:pPr>
        <w:pStyle w:val="TDC2"/>
        <w:tabs>
          <w:tab w:val="right" w:leader="dot" w:pos="9394"/>
        </w:tabs>
        <w:rPr>
          <w:noProof/>
        </w:rPr>
      </w:pPr>
      <w:hyperlink w:anchor="_Toc235108066" w:history="1">
        <w:r>
          <w:rPr>
            <w:rStyle w:val="Hipervnculo"/>
            <w:noProof/>
          </w:rPr>
          <w:t>Enfoque metodológico general</w:t>
        </w:r>
        <w:r>
          <w:rPr>
            <w:noProof/>
          </w:rPr>
          <w:tab/>
        </w:r>
        <w:r>
          <w:rPr>
            <w:noProof/>
          </w:rPr>
          <w:fldChar w:fldCharType="begin" w:fldLock="1"/>
        </w:r>
        <w:r>
          <w:rPr>
            <w:noProof/>
          </w:rPr>
          <w:instrText xml:space="preserve"> PAGEREF _Toc235108066 \h </w:instrText>
        </w:r>
        <w:r>
          <w:rPr>
            <w:noProof/>
          </w:rPr>
        </w:r>
        <w:r>
          <w:rPr>
            <w:noProof/>
          </w:rPr>
          <w:fldChar w:fldCharType="separate"/>
        </w:r>
        <w:r>
          <w:rPr>
            <w:noProof/>
          </w:rPr>
          <w:t>216</w:t>
        </w:r>
        <w:r>
          <w:rPr>
            <w:noProof/>
          </w:rPr>
          <w:fldChar w:fldCharType="end"/>
        </w:r>
      </w:hyperlink>
    </w:p>
    <w:p w14:paraId="46674D42" w14:textId="77777777" w:rsidR="00E33FDE" w:rsidRDefault="00C72D7D">
      <w:pPr>
        <w:pStyle w:val="TDC2"/>
        <w:tabs>
          <w:tab w:val="right" w:leader="dot" w:pos="9394"/>
        </w:tabs>
        <w:rPr>
          <w:noProof/>
        </w:rPr>
      </w:pPr>
      <w:hyperlink w:anchor="_Toc235108067" w:history="1">
        <w:r>
          <w:rPr>
            <w:rStyle w:val="Hipervnculo"/>
            <w:noProof/>
          </w:rPr>
          <w:t>Módulo I: Integración documental estratégica</w:t>
        </w:r>
        <w:r>
          <w:rPr>
            <w:noProof/>
          </w:rPr>
          <w:tab/>
        </w:r>
        <w:r>
          <w:rPr>
            <w:noProof/>
          </w:rPr>
          <w:fldChar w:fldCharType="begin" w:fldLock="1"/>
        </w:r>
        <w:r>
          <w:rPr>
            <w:noProof/>
          </w:rPr>
          <w:instrText xml:space="preserve"> PAGEREF _Toc235108067 \h </w:instrText>
        </w:r>
        <w:r>
          <w:rPr>
            <w:noProof/>
          </w:rPr>
        </w:r>
        <w:r>
          <w:rPr>
            <w:noProof/>
          </w:rPr>
          <w:fldChar w:fldCharType="separate"/>
        </w:r>
        <w:r>
          <w:rPr>
            <w:noProof/>
          </w:rPr>
          <w:t>217</w:t>
        </w:r>
        <w:r>
          <w:rPr>
            <w:noProof/>
          </w:rPr>
          <w:fldChar w:fldCharType="end"/>
        </w:r>
      </w:hyperlink>
    </w:p>
    <w:p w14:paraId="040BB253" w14:textId="77777777" w:rsidR="00E33FDE" w:rsidRDefault="00C72D7D">
      <w:pPr>
        <w:pStyle w:val="TDC2"/>
        <w:tabs>
          <w:tab w:val="right" w:leader="dot" w:pos="9394"/>
        </w:tabs>
        <w:rPr>
          <w:noProof/>
        </w:rPr>
      </w:pPr>
      <w:hyperlink w:anchor="_Toc235108068" w:history="1">
        <w:r>
          <w:rPr>
            <w:rStyle w:val="Hipervnculo"/>
            <w:noProof/>
          </w:rPr>
          <w:t>Módulo II: Caracterización estratégica de acto</w:t>
        </w:r>
        <w:r>
          <w:rPr>
            <w:rStyle w:val="Hipervnculo"/>
            <w:noProof/>
          </w:rPr>
          <w:t>res y grupos de valor</w:t>
        </w:r>
        <w:r>
          <w:rPr>
            <w:noProof/>
          </w:rPr>
          <w:tab/>
        </w:r>
        <w:r>
          <w:rPr>
            <w:noProof/>
          </w:rPr>
          <w:fldChar w:fldCharType="begin" w:fldLock="1"/>
        </w:r>
        <w:r>
          <w:rPr>
            <w:noProof/>
          </w:rPr>
          <w:instrText xml:space="preserve"> PAGEREF _Toc235108068 \h </w:instrText>
        </w:r>
        <w:r>
          <w:rPr>
            <w:noProof/>
          </w:rPr>
        </w:r>
        <w:r>
          <w:rPr>
            <w:noProof/>
          </w:rPr>
          <w:fldChar w:fldCharType="separate"/>
        </w:r>
        <w:r>
          <w:rPr>
            <w:noProof/>
          </w:rPr>
          <w:t>218</w:t>
        </w:r>
        <w:r>
          <w:rPr>
            <w:noProof/>
          </w:rPr>
          <w:fldChar w:fldCharType="end"/>
        </w:r>
      </w:hyperlink>
    </w:p>
    <w:p w14:paraId="4FC4C95B" w14:textId="77777777" w:rsidR="00E33FDE" w:rsidRDefault="00C72D7D">
      <w:pPr>
        <w:pStyle w:val="TDC2"/>
        <w:tabs>
          <w:tab w:val="right" w:leader="dot" w:pos="9394"/>
        </w:tabs>
        <w:rPr>
          <w:noProof/>
        </w:rPr>
      </w:pPr>
      <w:hyperlink w:anchor="_Toc235108069" w:history="1">
        <w:r>
          <w:rPr>
            <w:rStyle w:val="Hipervnculo"/>
            <w:noProof/>
          </w:rPr>
          <w:t>Módulo III: Producción de insumos estratégicos institucionales</w:t>
        </w:r>
        <w:r>
          <w:rPr>
            <w:noProof/>
          </w:rPr>
          <w:tab/>
        </w:r>
        <w:r>
          <w:rPr>
            <w:noProof/>
          </w:rPr>
          <w:fldChar w:fldCharType="begin" w:fldLock="1"/>
        </w:r>
        <w:r>
          <w:rPr>
            <w:noProof/>
          </w:rPr>
          <w:instrText xml:space="preserve"> PAGEREF _Toc235108069 \h </w:instrText>
        </w:r>
        <w:r>
          <w:rPr>
            <w:noProof/>
          </w:rPr>
        </w:r>
        <w:r>
          <w:rPr>
            <w:noProof/>
          </w:rPr>
          <w:fldChar w:fldCharType="separate"/>
        </w:r>
        <w:r>
          <w:rPr>
            <w:noProof/>
          </w:rPr>
          <w:t>219</w:t>
        </w:r>
        <w:r>
          <w:rPr>
            <w:noProof/>
          </w:rPr>
          <w:fldChar w:fldCharType="end"/>
        </w:r>
      </w:hyperlink>
    </w:p>
    <w:p w14:paraId="4B6D9288" w14:textId="77777777" w:rsidR="00E33FDE" w:rsidRDefault="00C72D7D">
      <w:pPr>
        <w:pStyle w:val="TDC2"/>
        <w:tabs>
          <w:tab w:val="right" w:leader="dot" w:pos="9394"/>
        </w:tabs>
        <w:rPr>
          <w:noProof/>
        </w:rPr>
      </w:pPr>
      <w:hyperlink w:anchor="_Toc235108070" w:history="1">
        <w:r>
          <w:rPr>
            <w:rStyle w:val="Hipervnculo"/>
            <w:noProof/>
          </w:rPr>
          <w:t>Integración del modelo en la gestión institucional</w:t>
        </w:r>
        <w:r>
          <w:rPr>
            <w:noProof/>
          </w:rPr>
          <w:tab/>
        </w:r>
        <w:r>
          <w:rPr>
            <w:noProof/>
          </w:rPr>
          <w:fldChar w:fldCharType="begin" w:fldLock="1"/>
        </w:r>
        <w:r>
          <w:rPr>
            <w:noProof/>
          </w:rPr>
          <w:instrText xml:space="preserve"> PAGEREF _Toc235108070 \h </w:instrText>
        </w:r>
        <w:r>
          <w:rPr>
            <w:noProof/>
          </w:rPr>
        </w:r>
        <w:r>
          <w:rPr>
            <w:noProof/>
          </w:rPr>
          <w:fldChar w:fldCharType="separate"/>
        </w:r>
        <w:r>
          <w:rPr>
            <w:noProof/>
          </w:rPr>
          <w:t>220</w:t>
        </w:r>
        <w:r>
          <w:rPr>
            <w:noProof/>
          </w:rPr>
          <w:fldChar w:fldCharType="end"/>
        </w:r>
      </w:hyperlink>
    </w:p>
    <w:p w14:paraId="459B4984" w14:textId="77777777" w:rsidR="00E33FDE" w:rsidRDefault="00C72D7D">
      <w:pPr>
        <w:pStyle w:val="TDC2"/>
        <w:tabs>
          <w:tab w:val="right" w:leader="dot" w:pos="9394"/>
        </w:tabs>
        <w:rPr>
          <w:noProof/>
        </w:rPr>
      </w:pPr>
      <w:hyperlink w:anchor="_Toc235108071" w:history="1">
        <w:r>
          <w:rPr>
            <w:rStyle w:val="Hipervnculo"/>
            <w:noProof/>
          </w:rPr>
          <w:t>Alcance y límites del modelo</w:t>
        </w:r>
        <w:r>
          <w:rPr>
            <w:noProof/>
          </w:rPr>
          <w:tab/>
        </w:r>
        <w:r>
          <w:rPr>
            <w:noProof/>
          </w:rPr>
          <w:fldChar w:fldCharType="begin" w:fldLock="1"/>
        </w:r>
        <w:r>
          <w:rPr>
            <w:noProof/>
          </w:rPr>
          <w:instrText xml:space="preserve"> PAGEREF _Toc235108071 \h </w:instrText>
        </w:r>
        <w:r>
          <w:rPr>
            <w:noProof/>
          </w:rPr>
        </w:r>
        <w:r>
          <w:rPr>
            <w:noProof/>
          </w:rPr>
          <w:fldChar w:fldCharType="separate"/>
        </w:r>
        <w:r>
          <w:rPr>
            <w:noProof/>
          </w:rPr>
          <w:t>221</w:t>
        </w:r>
        <w:r>
          <w:rPr>
            <w:noProof/>
          </w:rPr>
          <w:fldChar w:fldCharType="end"/>
        </w:r>
      </w:hyperlink>
    </w:p>
    <w:p w14:paraId="71602C2F" w14:textId="77777777" w:rsidR="00E33FDE" w:rsidRDefault="00C72D7D">
      <w:pPr>
        <w:pStyle w:val="TDC1"/>
        <w:tabs>
          <w:tab w:val="right" w:leader="dot" w:pos="9394"/>
        </w:tabs>
        <w:rPr>
          <w:noProof/>
        </w:rPr>
      </w:pPr>
      <w:hyperlink w:anchor="_Toc235108072" w:history="1">
        <w:r>
          <w:rPr>
            <w:rStyle w:val="Hipervnculo"/>
            <w:noProof/>
          </w:rPr>
          <w:t>Capítulo 1. Integración documental estratégica</w:t>
        </w:r>
        <w:r>
          <w:rPr>
            <w:noProof/>
          </w:rPr>
          <w:tab/>
        </w:r>
        <w:r>
          <w:rPr>
            <w:noProof/>
          </w:rPr>
          <w:fldChar w:fldCharType="begin" w:fldLock="1"/>
        </w:r>
        <w:r>
          <w:rPr>
            <w:noProof/>
          </w:rPr>
          <w:instrText xml:space="preserve"> PAGEREF _Toc235108</w:instrText>
        </w:r>
        <w:r>
          <w:rPr>
            <w:noProof/>
          </w:rPr>
          <w:instrText xml:space="preserve">072 \h </w:instrText>
        </w:r>
        <w:r>
          <w:rPr>
            <w:noProof/>
          </w:rPr>
        </w:r>
        <w:r>
          <w:rPr>
            <w:noProof/>
          </w:rPr>
          <w:fldChar w:fldCharType="separate"/>
        </w:r>
        <w:r>
          <w:rPr>
            <w:noProof/>
          </w:rPr>
          <w:t>221</w:t>
        </w:r>
        <w:r>
          <w:rPr>
            <w:noProof/>
          </w:rPr>
          <w:fldChar w:fldCharType="end"/>
        </w:r>
      </w:hyperlink>
    </w:p>
    <w:p w14:paraId="118C021C" w14:textId="77777777" w:rsidR="00E33FDE" w:rsidRDefault="00C72D7D">
      <w:pPr>
        <w:pStyle w:val="TDC2"/>
        <w:tabs>
          <w:tab w:val="right" w:leader="dot" w:pos="9394"/>
        </w:tabs>
        <w:rPr>
          <w:noProof/>
        </w:rPr>
      </w:pPr>
      <w:hyperlink w:anchor="_Toc235108073" w:history="1">
        <w:r>
          <w:rPr>
            <w:rStyle w:val="Hipervnculo"/>
            <w:noProof/>
          </w:rPr>
          <w:t>Introducción</w:t>
        </w:r>
        <w:r>
          <w:rPr>
            <w:noProof/>
          </w:rPr>
          <w:tab/>
        </w:r>
        <w:r>
          <w:rPr>
            <w:noProof/>
          </w:rPr>
          <w:fldChar w:fldCharType="begin" w:fldLock="1"/>
        </w:r>
        <w:r>
          <w:rPr>
            <w:noProof/>
          </w:rPr>
          <w:instrText xml:space="preserve"> PAGEREF _Toc235108073 \h </w:instrText>
        </w:r>
        <w:r>
          <w:rPr>
            <w:noProof/>
          </w:rPr>
        </w:r>
        <w:r>
          <w:rPr>
            <w:noProof/>
          </w:rPr>
          <w:fldChar w:fldCharType="separate"/>
        </w:r>
        <w:r>
          <w:rPr>
            <w:noProof/>
          </w:rPr>
          <w:t>221</w:t>
        </w:r>
        <w:r>
          <w:rPr>
            <w:noProof/>
          </w:rPr>
          <w:fldChar w:fldCharType="end"/>
        </w:r>
      </w:hyperlink>
    </w:p>
    <w:p w14:paraId="4339A98A" w14:textId="77777777" w:rsidR="00E33FDE" w:rsidRDefault="00C72D7D">
      <w:pPr>
        <w:pStyle w:val="TDC2"/>
        <w:tabs>
          <w:tab w:val="right" w:leader="dot" w:pos="9394"/>
        </w:tabs>
        <w:rPr>
          <w:noProof/>
        </w:rPr>
      </w:pPr>
      <w:hyperlink w:anchor="_Toc235108078" w:history="1">
        <w:r>
          <w:rPr>
            <w:rStyle w:val="Hipervnculo"/>
            <w:noProof/>
          </w:rPr>
          <w:t>Discusión e implicaciones estratégicas</w:t>
        </w:r>
        <w:r>
          <w:rPr>
            <w:noProof/>
          </w:rPr>
          <w:tab/>
        </w:r>
        <w:r>
          <w:rPr>
            <w:noProof/>
          </w:rPr>
          <w:fldChar w:fldCharType="begin" w:fldLock="1"/>
        </w:r>
        <w:r>
          <w:rPr>
            <w:noProof/>
          </w:rPr>
          <w:instrText xml:space="preserve"> PAGEREF _Toc235108078 \h </w:instrText>
        </w:r>
        <w:r>
          <w:rPr>
            <w:noProof/>
          </w:rPr>
        </w:r>
        <w:r>
          <w:rPr>
            <w:noProof/>
          </w:rPr>
          <w:fldChar w:fldCharType="separate"/>
        </w:r>
        <w:r>
          <w:rPr>
            <w:noProof/>
          </w:rPr>
          <w:t>226</w:t>
        </w:r>
        <w:r>
          <w:rPr>
            <w:noProof/>
          </w:rPr>
          <w:fldChar w:fldCharType="end"/>
        </w:r>
      </w:hyperlink>
    </w:p>
    <w:p w14:paraId="1629E3E9" w14:textId="77777777" w:rsidR="00E33FDE" w:rsidRDefault="00C72D7D">
      <w:pPr>
        <w:pStyle w:val="TDC2"/>
        <w:tabs>
          <w:tab w:val="right" w:leader="dot" w:pos="9394"/>
        </w:tabs>
        <w:rPr>
          <w:noProof/>
        </w:rPr>
      </w:pPr>
      <w:hyperlink w:anchor="_Toc235108079" w:history="1">
        <w:r>
          <w:rPr>
            <w:rStyle w:val="Hipervnculo"/>
            <w:noProof/>
          </w:rPr>
          <w:t>Conclusiones del capítulo</w:t>
        </w:r>
        <w:r>
          <w:rPr>
            <w:noProof/>
          </w:rPr>
          <w:tab/>
        </w:r>
        <w:r>
          <w:rPr>
            <w:noProof/>
          </w:rPr>
          <w:fldChar w:fldCharType="begin" w:fldLock="1"/>
        </w:r>
        <w:r>
          <w:rPr>
            <w:noProof/>
          </w:rPr>
          <w:instrText xml:space="preserve"> PAGEREF _Toc235108079 \h </w:instrText>
        </w:r>
        <w:r>
          <w:rPr>
            <w:noProof/>
          </w:rPr>
        </w:r>
        <w:r>
          <w:rPr>
            <w:noProof/>
          </w:rPr>
          <w:fldChar w:fldCharType="separate"/>
        </w:r>
        <w:r>
          <w:rPr>
            <w:noProof/>
          </w:rPr>
          <w:t>226</w:t>
        </w:r>
        <w:r>
          <w:rPr>
            <w:noProof/>
          </w:rPr>
          <w:fldChar w:fldCharType="end"/>
        </w:r>
      </w:hyperlink>
    </w:p>
    <w:p w14:paraId="60190DC7" w14:textId="77777777" w:rsidR="00E33FDE" w:rsidRDefault="00C72D7D">
      <w:pPr>
        <w:pStyle w:val="TDC1"/>
        <w:tabs>
          <w:tab w:val="right" w:leader="dot" w:pos="9394"/>
        </w:tabs>
        <w:rPr>
          <w:noProof/>
        </w:rPr>
      </w:pPr>
      <w:hyperlink w:anchor="_Toc235108080" w:history="1">
        <w:r>
          <w:rPr>
            <w:rStyle w:val="Hipervnculo"/>
            <w:noProof/>
          </w:rPr>
          <w:t>Capítulo 2 Caracterización estratégica de actores</w:t>
        </w:r>
        <w:r>
          <w:rPr>
            <w:noProof/>
          </w:rPr>
          <w:tab/>
        </w:r>
        <w:r>
          <w:rPr>
            <w:noProof/>
          </w:rPr>
          <w:fldChar w:fldCharType="begin" w:fldLock="1"/>
        </w:r>
        <w:r>
          <w:rPr>
            <w:noProof/>
          </w:rPr>
          <w:instrText xml:space="preserve"> PAGEREF _Toc235108080 \h </w:instrText>
        </w:r>
        <w:r>
          <w:rPr>
            <w:noProof/>
          </w:rPr>
        </w:r>
        <w:r>
          <w:rPr>
            <w:noProof/>
          </w:rPr>
          <w:fldChar w:fldCharType="separate"/>
        </w:r>
        <w:r>
          <w:rPr>
            <w:noProof/>
          </w:rPr>
          <w:t>227</w:t>
        </w:r>
        <w:r>
          <w:rPr>
            <w:noProof/>
          </w:rPr>
          <w:fldChar w:fldCharType="end"/>
        </w:r>
      </w:hyperlink>
    </w:p>
    <w:p w14:paraId="3C32649C" w14:textId="77777777" w:rsidR="00E33FDE" w:rsidRDefault="00C72D7D">
      <w:pPr>
        <w:pStyle w:val="TDC2"/>
        <w:tabs>
          <w:tab w:val="right" w:leader="dot" w:pos="9394"/>
        </w:tabs>
        <w:rPr>
          <w:noProof/>
        </w:rPr>
      </w:pPr>
      <w:hyperlink w:anchor="_Toc235108081" w:history="1">
        <w:r>
          <w:rPr>
            <w:rStyle w:val="Hipervnculo"/>
            <w:noProof/>
          </w:rPr>
          <w:t>Introducción</w:t>
        </w:r>
        <w:r>
          <w:rPr>
            <w:noProof/>
          </w:rPr>
          <w:tab/>
        </w:r>
        <w:r>
          <w:rPr>
            <w:noProof/>
          </w:rPr>
          <w:fldChar w:fldCharType="begin" w:fldLock="1"/>
        </w:r>
        <w:r>
          <w:rPr>
            <w:noProof/>
          </w:rPr>
          <w:instrText xml:space="preserve"> PAGEREF _Toc235108081 \h </w:instrText>
        </w:r>
        <w:r>
          <w:rPr>
            <w:noProof/>
          </w:rPr>
        </w:r>
        <w:r>
          <w:rPr>
            <w:noProof/>
          </w:rPr>
          <w:fldChar w:fldCharType="separate"/>
        </w:r>
        <w:r>
          <w:rPr>
            <w:noProof/>
          </w:rPr>
          <w:t>227</w:t>
        </w:r>
        <w:r>
          <w:rPr>
            <w:noProof/>
          </w:rPr>
          <w:fldChar w:fldCharType="end"/>
        </w:r>
      </w:hyperlink>
    </w:p>
    <w:p w14:paraId="744A7BED" w14:textId="77777777" w:rsidR="00E33FDE" w:rsidRDefault="00C72D7D">
      <w:pPr>
        <w:pStyle w:val="TDC2"/>
        <w:tabs>
          <w:tab w:val="right" w:leader="dot" w:pos="9394"/>
        </w:tabs>
        <w:rPr>
          <w:noProof/>
        </w:rPr>
      </w:pPr>
      <w:hyperlink w:anchor="_Toc235108085" w:history="1">
        <w:r>
          <w:rPr>
            <w:rStyle w:val="Hipervnculo"/>
            <w:noProof/>
          </w:rPr>
          <w:t>Hallazgos derivados de la caracterización estratégica de actores</w:t>
        </w:r>
        <w:r>
          <w:rPr>
            <w:noProof/>
          </w:rPr>
          <w:tab/>
        </w:r>
        <w:r>
          <w:rPr>
            <w:noProof/>
          </w:rPr>
          <w:fldChar w:fldCharType="begin" w:fldLock="1"/>
        </w:r>
        <w:r>
          <w:rPr>
            <w:noProof/>
          </w:rPr>
          <w:instrText xml:space="preserve"> PAGEREF _Toc2351</w:instrText>
        </w:r>
        <w:r>
          <w:rPr>
            <w:noProof/>
          </w:rPr>
          <w:instrText xml:space="preserve">08085 \h </w:instrText>
        </w:r>
        <w:r>
          <w:rPr>
            <w:noProof/>
          </w:rPr>
        </w:r>
        <w:r>
          <w:rPr>
            <w:noProof/>
          </w:rPr>
          <w:fldChar w:fldCharType="separate"/>
        </w:r>
        <w:r>
          <w:rPr>
            <w:noProof/>
          </w:rPr>
          <w:t>229</w:t>
        </w:r>
        <w:r>
          <w:rPr>
            <w:noProof/>
          </w:rPr>
          <w:fldChar w:fldCharType="end"/>
        </w:r>
      </w:hyperlink>
    </w:p>
    <w:p w14:paraId="68812955" w14:textId="77777777" w:rsidR="00E33FDE" w:rsidRDefault="00C72D7D">
      <w:pPr>
        <w:pStyle w:val="TDC2"/>
        <w:tabs>
          <w:tab w:val="right" w:leader="dot" w:pos="9394"/>
        </w:tabs>
        <w:rPr>
          <w:noProof/>
        </w:rPr>
      </w:pPr>
      <w:hyperlink w:anchor="_Toc235108091" w:history="1">
        <w:r>
          <w:rPr>
            <w:rStyle w:val="Hipervnculo"/>
            <w:noProof/>
          </w:rPr>
          <w:t>Discusión e implicaciones estratégicas</w:t>
        </w:r>
        <w:r>
          <w:rPr>
            <w:noProof/>
          </w:rPr>
          <w:tab/>
        </w:r>
        <w:r>
          <w:rPr>
            <w:noProof/>
          </w:rPr>
          <w:fldChar w:fldCharType="begin" w:fldLock="1"/>
        </w:r>
        <w:r>
          <w:rPr>
            <w:noProof/>
          </w:rPr>
          <w:instrText xml:space="preserve"> PAGEREF _Toc235108091 \h </w:instrText>
        </w:r>
        <w:r>
          <w:rPr>
            <w:noProof/>
          </w:rPr>
        </w:r>
        <w:r>
          <w:rPr>
            <w:noProof/>
          </w:rPr>
          <w:fldChar w:fldCharType="separate"/>
        </w:r>
        <w:r>
          <w:rPr>
            <w:noProof/>
          </w:rPr>
          <w:t>231</w:t>
        </w:r>
        <w:r>
          <w:rPr>
            <w:noProof/>
          </w:rPr>
          <w:fldChar w:fldCharType="end"/>
        </w:r>
      </w:hyperlink>
    </w:p>
    <w:p w14:paraId="3E1B93FF" w14:textId="77777777" w:rsidR="00E33FDE" w:rsidRDefault="00C72D7D">
      <w:pPr>
        <w:pStyle w:val="TDC2"/>
        <w:tabs>
          <w:tab w:val="right" w:leader="dot" w:pos="9394"/>
        </w:tabs>
        <w:rPr>
          <w:noProof/>
        </w:rPr>
      </w:pPr>
      <w:hyperlink w:anchor="_Toc235108092" w:history="1">
        <w:r>
          <w:rPr>
            <w:rStyle w:val="Hipervnculo"/>
            <w:noProof/>
          </w:rPr>
          <w:t>Conclusiones del capítulo</w:t>
        </w:r>
        <w:r>
          <w:rPr>
            <w:noProof/>
          </w:rPr>
          <w:tab/>
        </w:r>
        <w:r>
          <w:rPr>
            <w:noProof/>
          </w:rPr>
          <w:fldChar w:fldCharType="begin" w:fldLock="1"/>
        </w:r>
        <w:r>
          <w:rPr>
            <w:noProof/>
          </w:rPr>
          <w:instrText xml:space="preserve"> PAGEREF _Toc235108092 \h </w:instrText>
        </w:r>
        <w:r>
          <w:rPr>
            <w:noProof/>
          </w:rPr>
        </w:r>
        <w:r>
          <w:rPr>
            <w:noProof/>
          </w:rPr>
          <w:fldChar w:fldCharType="separate"/>
        </w:r>
        <w:r>
          <w:rPr>
            <w:noProof/>
          </w:rPr>
          <w:t>232</w:t>
        </w:r>
        <w:r>
          <w:rPr>
            <w:noProof/>
          </w:rPr>
          <w:fldChar w:fldCharType="end"/>
        </w:r>
      </w:hyperlink>
    </w:p>
    <w:p w14:paraId="4309699D" w14:textId="77777777" w:rsidR="00E33FDE" w:rsidRDefault="00C72D7D">
      <w:pPr>
        <w:pStyle w:val="TDC1"/>
        <w:tabs>
          <w:tab w:val="right" w:leader="dot" w:pos="9394"/>
        </w:tabs>
        <w:rPr>
          <w:noProof/>
        </w:rPr>
      </w:pPr>
      <w:hyperlink w:anchor="_Toc235108093" w:history="1">
        <w:r>
          <w:rPr>
            <w:rStyle w:val="Hipervnculo"/>
            <w:noProof/>
          </w:rPr>
          <w:t>Capítulo 3 Producción de insumos estratégicos institucionales</w:t>
        </w:r>
        <w:r>
          <w:rPr>
            <w:noProof/>
          </w:rPr>
          <w:tab/>
        </w:r>
        <w:r>
          <w:rPr>
            <w:noProof/>
          </w:rPr>
          <w:fldChar w:fldCharType="begin" w:fldLock="1"/>
        </w:r>
        <w:r>
          <w:rPr>
            <w:noProof/>
          </w:rPr>
          <w:instrText xml:space="preserve"> PAGEREF _</w:instrText>
        </w:r>
        <w:r>
          <w:rPr>
            <w:noProof/>
          </w:rPr>
          <w:instrText xml:space="preserve">Toc235108093 \h </w:instrText>
        </w:r>
        <w:r>
          <w:rPr>
            <w:noProof/>
          </w:rPr>
        </w:r>
        <w:r>
          <w:rPr>
            <w:noProof/>
          </w:rPr>
          <w:fldChar w:fldCharType="separate"/>
        </w:r>
        <w:r>
          <w:rPr>
            <w:noProof/>
          </w:rPr>
          <w:t>232</w:t>
        </w:r>
        <w:r>
          <w:rPr>
            <w:noProof/>
          </w:rPr>
          <w:fldChar w:fldCharType="end"/>
        </w:r>
      </w:hyperlink>
    </w:p>
    <w:p w14:paraId="5B258CEB" w14:textId="77777777" w:rsidR="00E33FDE" w:rsidRDefault="00C72D7D">
      <w:pPr>
        <w:pStyle w:val="TDC2"/>
        <w:tabs>
          <w:tab w:val="right" w:leader="dot" w:pos="9394"/>
        </w:tabs>
        <w:rPr>
          <w:noProof/>
        </w:rPr>
      </w:pPr>
      <w:hyperlink w:anchor="_Toc235108094" w:history="1">
        <w:r>
          <w:rPr>
            <w:rStyle w:val="Hipervnculo"/>
            <w:noProof/>
          </w:rPr>
          <w:t>Introducción</w:t>
        </w:r>
        <w:r>
          <w:rPr>
            <w:noProof/>
          </w:rPr>
          <w:tab/>
        </w:r>
        <w:r>
          <w:rPr>
            <w:noProof/>
          </w:rPr>
          <w:fldChar w:fldCharType="begin" w:fldLock="1"/>
        </w:r>
        <w:r>
          <w:rPr>
            <w:noProof/>
          </w:rPr>
          <w:instrText xml:space="preserve"> PAGEREF _Toc235108094 \h </w:instrText>
        </w:r>
        <w:r>
          <w:rPr>
            <w:noProof/>
          </w:rPr>
        </w:r>
        <w:r>
          <w:rPr>
            <w:noProof/>
          </w:rPr>
          <w:fldChar w:fldCharType="separate"/>
        </w:r>
        <w:r>
          <w:rPr>
            <w:noProof/>
          </w:rPr>
          <w:t>232</w:t>
        </w:r>
        <w:r>
          <w:rPr>
            <w:noProof/>
          </w:rPr>
          <w:fldChar w:fldCharType="end"/>
        </w:r>
      </w:hyperlink>
    </w:p>
    <w:p w14:paraId="4A9BE7E4" w14:textId="77777777" w:rsidR="00E33FDE" w:rsidRDefault="00C72D7D">
      <w:pPr>
        <w:pStyle w:val="TDC1"/>
        <w:tabs>
          <w:tab w:val="right" w:leader="dot" w:pos="9394"/>
        </w:tabs>
        <w:rPr>
          <w:noProof/>
        </w:rPr>
      </w:pPr>
      <w:hyperlink w:anchor="_Toc235108097" w:history="1">
        <w:r>
          <w:rPr>
            <w:rStyle w:val="Hipervnculo"/>
            <w:noProof/>
          </w:rPr>
          <w:t>Capítulo 4 Gestión del conocimiento</w:t>
        </w:r>
        <w:r>
          <w:rPr>
            <w:noProof/>
          </w:rPr>
          <w:tab/>
        </w:r>
        <w:r>
          <w:rPr>
            <w:noProof/>
          </w:rPr>
          <w:fldChar w:fldCharType="begin" w:fldLock="1"/>
        </w:r>
        <w:r>
          <w:rPr>
            <w:noProof/>
          </w:rPr>
          <w:instrText xml:space="preserve"> PAGEREF _Toc235108097 \h </w:instrText>
        </w:r>
        <w:r>
          <w:rPr>
            <w:noProof/>
          </w:rPr>
        </w:r>
        <w:r>
          <w:rPr>
            <w:noProof/>
          </w:rPr>
          <w:fldChar w:fldCharType="separate"/>
        </w:r>
        <w:r>
          <w:rPr>
            <w:noProof/>
          </w:rPr>
          <w:t>233</w:t>
        </w:r>
        <w:r>
          <w:rPr>
            <w:noProof/>
          </w:rPr>
          <w:fldChar w:fldCharType="end"/>
        </w:r>
      </w:hyperlink>
    </w:p>
    <w:p w14:paraId="5A1BEB78" w14:textId="77777777" w:rsidR="00E33FDE" w:rsidRDefault="00C72D7D">
      <w:pPr>
        <w:pStyle w:val="TDC2"/>
        <w:tabs>
          <w:tab w:val="right" w:leader="dot" w:pos="9394"/>
        </w:tabs>
        <w:rPr>
          <w:noProof/>
        </w:rPr>
      </w:pPr>
      <w:hyperlink w:anchor="_Toc235108098" w:history="1">
        <w:r>
          <w:rPr>
            <w:rStyle w:val="Hipervnculo"/>
            <w:noProof/>
          </w:rPr>
          <w:t>Introducción</w:t>
        </w:r>
        <w:r>
          <w:rPr>
            <w:noProof/>
          </w:rPr>
          <w:tab/>
        </w:r>
        <w:r>
          <w:rPr>
            <w:noProof/>
          </w:rPr>
          <w:fldChar w:fldCharType="begin" w:fldLock="1"/>
        </w:r>
        <w:r>
          <w:rPr>
            <w:noProof/>
          </w:rPr>
          <w:instrText xml:space="preserve"> PAGEREF _Toc235108098 \h </w:instrText>
        </w:r>
        <w:r>
          <w:rPr>
            <w:noProof/>
          </w:rPr>
        </w:r>
        <w:r>
          <w:rPr>
            <w:noProof/>
          </w:rPr>
          <w:fldChar w:fldCharType="separate"/>
        </w:r>
        <w:r>
          <w:rPr>
            <w:noProof/>
          </w:rPr>
          <w:t>233</w:t>
        </w:r>
        <w:r>
          <w:rPr>
            <w:noProof/>
          </w:rPr>
          <w:fldChar w:fldCharType="end"/>
        </w:r>
      </w:hyperlink>
    </w:p>
    <w:p w14:paraId="7C254C08" w14:textId="77777777" w:rsidR="00E33FDE" w:rsidRDefault="00C72D7D">
      <w:pPr>
        <w:pStyle w:val="TDC1"/>
        <w:tabs>
          <w:tab w:val="right" w:leader="dot" w:pos="9394"/>
        </w:tabs>
        <w:rPr>
          <w:noProof/>
        </w:rPr>
      </w:pPr>
      <w:hyperlink w:anchor="_Toc235108101" w:history="1">
        <w:r>
          <w:rPr>
            <w:rStyle w:val="Hipervnculo"/>
            <w:noProof/>
          </w:rPr>
          <w:t>Referencias</w:t>
        </w:r>
        <w:r>
          <w:rPr>
            <w:noProof/>
          </w:rPr>
          <w:tab/>
        </w:r>
        <w:r>
          <w:rPr>
            <w:noProof/>
          </w:rPr>
          <w:fldChar w:fldCharType="begin" w:fldLock="1"/>
        </w:r>
        <w:r>
          <w:rPr>
            <w:noProof/>
          </w:rPr>
          <w:instrText xml:space="preserve"> PAGEREF _Toc235108101 \h </w:instrText>
        </w:r>
        <w:r>
          <w:rPr>
            <w:noProof/>
          </w:rPr>
        </w:r>
        <w:r>
          <w:rPr>
            <w:noProof/>
          </w:rPr>
          <w:fldChar w:fldCharType="separate"/>
        </w:r>
        <w:r>
          <w:rPr>
            <w:noProof/>
          </w:rPr>
          <w:t>234</w:t>
        </w:r>
        <w:r>
          <w:rPr>
            <w:noProof/>
          </w:rPr>
          <w:fldChar w:fldCharType="end"/>
        </w:r>
      </w:hyperlink>
    </w:p>
    <w:p w14:paraId="09B22687" w14:textId="77777777" w:rsidR="00A86834" w:rsidRDefault="00A86834" w:rsidP="006245F7">
      <w:pPr>
        <w:jc w:val="center"/>
        <w:rPr>
          <w:rFonts w:asciiTheme="majorHAnsi" w:hAnsiTheme="majorHAnsi" w:cstheme="majorHAnsi"/>
          <w:b/>
          <w:bCs/>
          <w:color w:val="D49E21"/>
          <w:sz w:val="52"/>
          <w:szCs w:val="52"/>
        </w:rPr>
        <w:sectPr w:rsidR="00A86834">
          <w:pgSz w:w="12240" w:h="15840"/>
          <w:pgMar w:top="1991" w:right="1418" w:bottom="1588" w:left="1418" w:header="573" w:footer="1531" w:gutter="0"/>
          <w:pgNumType w:start="1"/>
          <w:cols w:space="720"/>
        </w:sectPr>
      </w:pPr>
    </w:p>
    <w:p w14:paraId="275BC532" w14:textId="77777777" w:rsidR="00E51078" w:rsidRPr="00E51078" w:rsidRDefault="00E51078" w:rsidP="00A86834">
      <w:pPr>
        <w:pStyle w:val="Ttulo1"/>
      </w:pPr>
      <w:bookmarkStart w:id="251" w:name="_Toc235108042"/>
      <w:bookmarkEnd w:id="0"/>
      <w:r w:rsidRPr="00E51078">
        <w:lastRenderedPageBreak/>
        <w:t>Introducción</w:t>
      </w:r>
      <w:bookmarkEnd w:id="251"/>
    </w:p>
    <w:p w14:paraId="06A8E8B5"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La Transición Energética Justa (TEJ), incorporada como eje estructurante del Plan Nacional de Desarrollo 2022–2026, no puede entenderse únicamente como un proceso de cambio tecnológico. En el contexto colombiano, implica una transformación estructural del sector minero–energético en la que confluyen dimensiones energéticas, fiscales, territoriales, sociales y ambientales que interactúan de manera interrelacionada (Departamento Nacional de Planeación [DNP], 2023; DNP, 2022).</w:t>
      </w:r>
    </w:p>
    <w:p w14:paraId="18F41D8E"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681E9418"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Aunque la matriz eléctrica de Colombia tiene una alta participación de fuentes renovables, en especial hidráulicas, el panorama cambia cuando se observa la matriz energética en su conjunto. En sectores como el transporte y la industria, la dependencia de combustibles fósiles sigue siendo significativa, lo que muestra que la transición está en curso, pero aún lejos de convertirse en una realidad para el país (International Energy Agency [IEA], 2023).</w:t>
      </w:r>
    </w:p>
    <w:p w14:paraId="78244FCE"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2416920A"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En ese orden de ideas por encima del diseño y cumplimiento de las metas técnicas, el reto está en manejar tensiones que no siempre se alinean, en la práctica implica concatenar tensiones que no siempre se alinean entre sí. La seguridad energética, los compromisos de descarbonización, la sostenibilidad fiscal y los efectos territoriales avanzan a ritmos distintos, lo que obliga a tomar decisiones que muchas veces requieren equilibrio más que soluciones lineales (</w:t>
      </w:r>
      <w:proofErr w:type="spellStart"/>
      <w:r w:rsidRPr="00E51078">
        <w:rPr>
          <w:rFonts w:asciiTheme="majorHAnsi" w:hAnsiTheme="majorHAnsi" w:cstheme="majorHAnsi"/>
          <w:sz w:val="22"/>
          <w:szCs w:val="22"/>
        </w:rPr>
        <w:t>World</w:t>
      </w:r>
      <w:proofErr w:type="spellEnd"/>
      <w:r w:rsidRPr="00E51078">
        <w:rPr>
          <w:rFonts w:asciiTheme="majorHAnsi" w:hAnsiTheme="majorHAnsi" w:cstheme="majorHAnsi"/>
          <w:sz w:val="22"/>
          <w:szCs w:val="22"/>
        </w:rPr>
        <w:t xml:space="preserve"> Bank, 2022).</w:t>
      </w:r>
    </w:p>
    <w:p w14:paraId="10ED5B62"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7CD77898"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En Colombia esto se hace más evidente en territorios cuya economía depende de actividades extractivas, donde los cambios del sector tienen impactos directos sobre el empleo, la dinámica productiva y la relación con las comunidades. A esto se suman factores de riesgo presentes en algunas regiones, como la presencia de escenarios de riesgo por las acciones de actores armados ilegales, que introducen condiciones adicionales y pueden incidir tanto en la viabilidad de los proyectos como en su legitimidad social, llámese control social, territorial por presencia hegemónico o escenarios de disputa de estos actores.</w:t>
      </w:r>
    </w:p>
    <w:p w14:paraId="713A4FAF"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650FDF23"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 xml:space="preserve">En este escenario, la sostenibilidad de la transición no depende únicamente de la solidez técnica en la planificación y ejecución de las políticas públicas, sino también de las capacidades institucionales y sociales </w:t>
      </w:r>
      <w:r w:rsidRPr="00E51078">
        <w:rPr>
          <w:rFonts w:asciiTheme="majorHAnsi" w:hAnsiTheme="majorHAnsi" w:cstheme="majorHAnsi"/>
          <w:sz w:val="22"/>
          <w:szCs w:val="22"/>
        </w:rPr>
        <w:lastRenderedPageBreak/>
        <w:t>para implementarlas de manera pertinente. La experiencia comparada muestra que los principales obstáculos en estos procesos suelen estar asociados a debilidades en la articulación institucional, la desalineación entre instrumentos regulatorios y la ausencia de análisis acumulativo (</w:t>
      </w:r>
      <w:proofErr w:type="spellStart"/>
      <w:r w:rsidRPr="00E51078">
        <w:rPr>
          <w:rFonts w:asciiTheme="majorHAnsi" w:hAnsiTheme="majorHAnsi" w:cstheme="majorHAnsi"/>
          <w:sz w:val="22"/>
          <w:szCs w:val="22"/>
        </w:rPr>
        <w:t>World</w:t>
      </w:r>
      <w:proofErr w:type="spellEnd"/>
      <w:r w:rsidRPr="00E51078">
        <w:rPr>
          <w:rFonts w:asciiTheme="majorHAnsi" w:hAnsiTheme="majorHAnsi" w:cstheme="majorHAnsi"/>
          <w:sz w:val="22"/>
          <w:szCs w:val="22"/>
        </w:rPr>
        <w:t xml:space="preserve"> Bank, 2017; OECD, 2020). En Colombia, el sector minero–energético se desarrolla en un entorno de alta exposición pública, técnica e institucional, en el que convergen múltiples iniciativas normativas, intereses diversos y dinámicas territoriales complejas. Esto incrementa la necesidad de contar con herramientas que permitan organizar, interpretar y proyectar la información disponible de manera estratégica.</w:t>
      </w:r>
    </w:p>
    <w:p w14:paraId="2CF03794"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1690F7E5"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Esta necesidad se acentúa si se considera que el sector se estructura en tres pivotes —energía, minería e hidrocarburos—, cada uno con desarrollos técnicos especializados, pero atravesados simultáneamente por la lógica de la Transición Energética Justa. En la práctica, las decisiones adoptadas en un subsector inciden directamente en los demás, generando interdependencias que no siempre son evidentes desde una lectura sectorial aislada. Las políticas de hidrocarburos, por ejemplo, tienen efectos sobre la estabilidad fiscal y la seguridad energética, mientras que la expansión de energías renovables se relaciona con dinámicas territoriales específicas y con marcos regulatorios en evolución. De igual forma, la política minera se conecta tanto con objetivos de transición global como con impactos locales.</w:t>
      </w:r>
    </w:p>
    <w:p w14:paraId="5282B879"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7BEBE134"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A partir de la revisión de los avances de los pivotes de energía, minería e hidrocarburos, se observa que las agendas sectoriales comparten preocupaciones que no pueden ser leídas de manera aislada: seguridad y soberanía energética, diversificación tecnológica, modernización regulatoria, participación territorial, conflictividad socioambiental, gestión de beneficios y sostenibilidad fiscal. Esta convergencia confirma que el Pivote Transversal debe operar como un mecanismo de lectura integrada de esas interdependencias, sin reemplazar los análisis técnicos propios de cada subsector.</w:t>
      </w:r>
    </w:p>
    <w:p w14:paraId="232B93A2"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59CB7E8C"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 xml:space="preserve">En particular, el pivote de energía incorpora discusiones sobre resiliencia climática, comunidades energéticas, generación distribuida y vulnerabilidad social; el pivote de hidrocarburos plantea tensiones entre seguridad energética, dependencia fiscal y diversificación hacia nuevos energéticos; y el pivote de minería introduce debates sobre modernización del modelo minero, minerales estratégicos, formalización y relación con territorios. Estos elementos permiten delimitar mejor el campo de acción del Pivote </w:t>
      </w:r>
      <w:r w:rsidRPr="00E51078">
        <w:rPr>
          <w:rFonts w:asciiTheme="majorHAnsi" w:hAnsiTheme="majorHAnsi" w:cstheme="majorHAnsi"/>
          <w:sz w:val="22"/>
          <w:szCs w:val="22"/>
        </w:rPr>
        <w:lastRenderedPageBreak/>
        <w:t>Transversal: identificar puntos de conexión, riesgos comunes y necesidades de articulación institucional entre los desarrollos sectoriales.</w:t>
      </w:r>
    </w:p>
    <w:p w14:paraId="6EC2B2BF"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3E504D30"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Es por ello que, la necesidad identificada no es únicamente técnica, sino fundamentalmente analítica e integradora. La ausencia de una lectura articulada del sector puede derivar en desalineaciones, no por errores en los desarrollos técnicos, sino por la falta de integración entre ellos. Es precisamente en este punto donde se ubica el Pivote Transversal, como una respuesta orientada a fortalecer la capacidad de integración analítica del Ministerio.</w:t>
      </w:r>
    </w:p>
    <w:p w14:paraId="29ADF165"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11128A0F"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El Pivote Transversal no busca intervenir en los desarrollos técnicos sectoriales ni reemplazar las metodologías existentes. Su función es articular la información disponible, facilitar su interpretación conjunta y contribuir a una lectura estratégica del sector en su conjunto. Más que producir nuevos contenidos, opera como una arquitectura metodológica que permite consolidar insumos, identificar relaciones entre ellos y proyectar escenarios de implementación de la Transición Energética Justa. De esta manera, su aporte se orienta al fortalecimiento de capacidades institucionales permanentes, necesarias para mejorar la coherencia, la anticipación y la consistencia del accionar sectorial.</w:t>
      </w:r>
    </w:p>
    <w:p w14:paraId="0F47172D"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3550D5E4"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Desde esta perspectiva, el avance del Pivote Transversal no consiste únicamente en ordenar información, sino en construir una capacidad institucional para reconocer patrones comunes entre los documentos sectoriales y convertirlos en insumos útiles para la dirección estratégica del Ministerio. Esta función resulta especialmente relevante porque varios de los temas priorizados por los demás pivotes —como la transición territorial, los nuevos energéticos, la conflictividad social, la participación de comunidades y la actualización normativa— requieren una lectura transversal que permita evitar respuestas fragmentadas.</w:t>
      </w:r>
    </w:p>
    <w:p w14:paraId="792A5CAC" w14:textId="77777777" w:rsidR="00E51078" w:rsidRPr="00E51078" w:rsidRDefault="00E51078" w:rsidP="00A86834">
      <w:pPr>
        <w:pStyle w:val="Ttulo1"/>
      </w:pPr>
      <w:bookmarkStart w:id="252" w:name="_Toc235108043"/>
      <w:r w:rsidRPr="00E51078">
        <w:t>Marco teórico</w:t>
      </w:r>
      <w:bookmarkEnd w:id="252"/>
    </w:p>
    <w:p w14:paraId="6932324F"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El análisis del Pivote Transversal se sustenta en varios enfoques que permiten comprender cómo se relacionan las capacidades institucionales, la complejidad del sector y la sostenibilidad de procesos de transformación como la Transición Energética Justa (</w:t>
      </w:r>
      <w:proofErr w:type="spellStart"/>
      <w:r w:rsidRPr="00E51078">
        <w:rPr>
          <w:rFonts w:asciiTheme="majorHAnsi" w:hAnsiTheme="majorHAnsi" w:cstheme="majorHAnsi"/>
        </w:rPr>
        <w:t>World</w:t>
      </w:r>
      <w:proofErr w:type="spellEnd"/>
      <w:r w:rsidRPr="00E51078">
        <w:rPr>
          <w:rFonts w:asciiTheme="majorHAnsi" w:hAnsiTheme="majorHAnsi" w:cstheme="majorHAnsi"/>
        </w:rPr>
        <w:t xml:space="preserve"> Bank, 2017; OECD, 2020).</w:t>
      </w:r>
    </w:p>
    <w:p w14:paraId="45C0FC68" w14:textId="77777777" w:rsidR="00E51078" w:rsidRPr="00E51078" w:rsidRDefault="00E51078" w:rsidP="00E51078">
      <w:pPr>
        <w:spacing w:after="0"/>
        <w:jc w:val="both"/>
        <w:rPr>
          <w:rFonts w:asciiTheme="majorHAnsi" w:hAnsiTheme="majorHAnsi" w:cstheme="majorHAnsi"/>
        </w:rPr>
      </w:pPr>
    </w:p>
    <w:p w14:paraId="179FF75A"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En primer lugar, el enfoque de fortalecimiento institucional parte de la garantía sobre la efectividad de las políticas públicas y esto no depende exclusivamente de su diseño técnico. En la práctica, resulta igual o más importante la capacidad del Estado para articularlas, implementarlas y sostenerlas en contextos cambiantes (</w:t>
      </w:r>
      <w:proofErr w:type="spellStart"/>
      <w:r w:rsidRPr="00E51078">
        <w:rPr>
          <w:rFonts w:asciiTheme="majorHAnsi" w:hAnsiTheme="majorHAnsi" w:cstheme="majorHAnsi"/>
        </w:rPr>
        <w:t>World</w:t>
      </w:r>
      <w:proofErr w:type="spellEnd"/>
      <w:r w:rsidRPr="00E51078">
        <w:rPr>
          <w:rFonts w:asciiTheme="majorHAnsi" w:hAnsiTheme="majorHAnsi" w:cstheme="majorHAnsi"/>
        </w:rPr>
        <w:t xml:space="preserve"> Bank, 2017). En sectores estratégicos como el minero–energético, esta capacidad incide directamente en la coherencia normativa, la estabilidad regulatoria y la legitimidad de las decisiones públicas.</w:t>
      </w:r>
    </w:p>
    <w:p w14:paraId="6EE0FBCD" w14:textId="77777777" w:rsidR="00E51078" w:rsidRPr="00E51078" w:rsidRDefault="00E51078" w:rsidP="00E51078">
      <w:pPr>
        <w:spacing w:after="0"/>
        <w:jc w:val="both"/>
        <w:rPr>
          <w:rFonts w:asciiTheme="majorHAnsi" w:hAnsiTheme="majorHAnsi" w:cstheme="majorHAnsi"/>
        </w:rPr>
      </w:pPr>
    </w:p>
    <w:p w14:paraId="4828EBF2"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En segundo lugar, los enfoques de gobernanza en contextos complejos señalan que la acción estatal no ocurre en entornos lineales. Por el contrario, se desarrolla en escenarios donde convergen múltiples actores, intereses diversos y altos niveles de interacción normativa e institucional (OECD, 2020). Cuando la información se encuentra fragmentada o las entidades actúan de manera desarticulada, pueden generarse inconsistencias que afectan la formulación y la implementación de las políticas públicas, limitando la capacidad del Estado para orientar procesos de transformación.</w:t>
      </w:r>
    </w:p>
    <w:p w14:paraId="64F08225" w14:textId="77777777" w:rsidR="00E51078" w:rsidRPr="00E51078" w:rsidRDefault="00E51078" w:rsidP="00E51078">
      <w:pPr>
        <w:spacing w:after="0"/>
        <w:jc w:val="both"/>
        <w:rPr>
          <w:rFonts w:asciiTheme="majorHAnsi" w:hAnsiTheme="majorHAnsi" w:cstheme="majorHAnsi"/>
        </w:rPr>
      </w:pPr>
    </w:p>
    <w:p w14:paraId="79BDC078"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La revisión de los demás pivotes muestra que esta complejidad no es abstracta. En el sector energético aparece asociada a la vulnerabilidad climática del sistema eléctrico, la incorporación de fuentes no convencionales y la consolidación de comunidades energéticas; en hidrocarburos, a la tensión entre transición, seguridad energética y dependencia fiscal; y en minería, a la necesidad de modernizar el modelo regulatorio, atender la minería artesanal y gestionar impactos territoriales. El marco teórico del Pivote Transversal debe recoger estas diferencias para explicar por qué la gobernanza sectorial requiere instrumentos de integración analítica y no únicamente desarrollos técnicos separados.</w:t>
      </w:r>
    </w:p>
    <w:p w14:paraId="7F8DC588" w14:textId="77777777" w:rsidR="00E51078" w:rsidRPr="00E51078" w:rsidRDefault="00E51078" w:rsidP="00E51078">
      <w:pPr>
        <w:spacing w:after="0"/>
        <w:jc w:val="both"/>
        <w:rPr>
          <w:rFonts w:asciiTheme="majorHAnsi" w:hAnsiTheme="majorHAnsi" w:cstheme="majorHAnsi"/>
        </w:rPr>
      </w:pPr>
    </w:p>
    <w:p w14:paraId="7CE0020A"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En ese sentido, resulta pertinente incorporar la noción de arquitectura institucional como categoría de análisis. Esta puede entenderse como el conjunto de normas, entidades, competencias, prácticas y mecanismos de coordinación que orientan la toma de decisiones en el sector minero-energético. Su utilidad para el Pivote Transversal radica en que permite observar no solo qué instrumentos existen, sino cómo se relacionan entre sí, qué vacíos de coordinación se presentan y qué capacidades institucionales se requieren para sostener la Transición Energética Justa en el tiempo.</w:t>
      </w:r>
    </w:p>
    <w:p w14:paraId="38BB41C7" w14:textId="77777777" w:rsidR="00E51078" w:rsidRPr="00E51078" w:rsidRDefault="00E51078" w:rsidP="00E51078">
      <w:pPr>
        <w:spacing w:after="0"/>
        <w:jc w:val="both"/>
        <w:rPr>
          <w:rFonts w:asciiTheme="majorHAnsi" w:hAnsiTheme="majorHAnsi" w:cstheme="majorHAnsi"/>
        </w:rPr>
      </w:pPr>
    </w:p>
    <w:p w14:paraId="02D74AC9"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En tercer lugar, la gestión del conocimiento organizacional se entiende como una capacidad estratégica que permite capturar, organizar y reutilizar información institucional (Nonaka &amp; Takeuchi, 1995). Este enfoque adquiere especial relevancia cuando la información se produce de manera dispersa y bajo lógicas operativas distintas, ya que en estos casos aumenta el riesgo de pérdida de memoria institucional y se debilita la acumulación de capacidades analíticas en el tiempo.</w:t>
      </w:r>
    </w:p>
    <w:p w14:paraId="185CAC2E" w14:textId="77777777" w:rsidR="00E51078" w:rsidRPr="00E51078" w:rsidRDefault="00E51078" w:rsidP="00E51078">
      <w:pPr>
        <w:spacing w:after="0"/>
        <w:jc w:val="both"/>
        <w:rPr>
          <w:rFonts w:asciiTheme="majorHAnsi" w:hAnsiTheme="majorHAnsi" w:cstheme="majorHAnsi"/>
        </w:rPr>
      </w:pPr>
    </w:p>
    <w:p w14:paraId="36462C2B"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Para efectos del Pivote Transversal, la gestión del conocimiento debe entenderse como una práctica aplicada y no solo como un principio general. Esto supone consolidar matrices comparables, repositorios de información, fichas de lectura sectorial, trazabilidad de decisiones, lecciones aprendidas y productos ejecutivos que permitan reutilizar información generada por los pivotes sectoriales. De esta manera, el conocimiento producido en energía, minería e hidrocarburos puede convertirse en una base acumulativa para la toma de decisiones, la formulación de recomendaciones y la identificación de riesgos comunes.</w:t>
      </w:r>
    </w:p>
    <w:p w14:paraId="3D1934BB"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Finalmente, los enfoques de análisis de políticas públicas resaltan la importancia de comprender el entorno normativo e institucional como un elemento dinámico. Este entorno —que incluye, entre otros aspectos, las dinámicas legislativas— no solo define reglas formales, sino que también refleja condiciones políticas, territoriales y sociales que inciden en la sostenibilidad de las decisiones sectoriales (</w:t>
      </w:r>
      <w:proofErr w:type="spellStart"/>
      <w:r w:rsidRPr="00E51078">
        <w:rPr>
          <w:rFonts w:asciiTheme="majorHAnsi" w:hAnsiTheme="majorHAnsi" w:cstheme="majorHAnsi"/>
        </w:rPr>
        <w:t>Howlett</w:t>
      </w:r>
      <w:proofErr w:type="spellEnd"/>
      <w:r w:rsidRPr="00E51078">
        <w:rPr>
          <w:rFonts w:asciiTheme="majorHAnsi" w:hAnsiTheme="majorHAnsi" w:cstheme="majorHAnsi"/>
        </w:rPr>
        <w:t xml:space="preserve"> &amp; Ramesh, 2003).</w:t>
      </w:r>
    </w:p>
    <w:p w14:paraId="0B08ABE0" w14:textId="77777777" w:rsidR="00E51078" w:rsidRPr="00E51078" w:rsidRDefault="00E51078" w:rsidP="00E51078">
      <w:pPr>
        <w:spacing w:after="0"/>
        <w:jc w:val="both"/>
        <w:rPr>
          <w:rFonts w:asciiTheme="majorHAnsi" w:hAnsiTheme="majorHAnsi" w:cstheme="majorHAnsi"/>
        </w:rPr>
      </w:pPr>
    </w:p>
    <w:p w14:paraId="66B65DDB"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Esto propone un diagnóstico en donde las limitaciones no se explican necesariamente por la falta de información, sino por la dificultad para integrarla, interpretarla y proyectarla de manera estratégica. El Pivote Transversal se plantea como una respuesta orientada a fortalecer estas capacidades, en un escenario donde la gobernanza del sector minero–energético depende cada vez más de la coherencia, la acumulación y el uso estratégico de la información institucional.</w:t>
      </w:r>
    </w:p>
    <w:p w14:paraId="7D3B7E36" w14:textId="77777777" w:rsidR="00E51078" w:rsidRPr="00E51078" w:rsidRDefault="00E51078" w:rsidP="00E51078">
      <w:pPr>
        <w:spacing w:after="0"/>
        <w:jc w:val="both"/>
        <w:rPr>
          <w:rFonts w:asciiTheme="majorHAnsi" w:hAnsiTheme="majorHAnsi" w:cstheme="majorHAnsi"/>
        </w:rPr>
      </w:pPr>
    </w:p>
    <w:p w14:paraId="6E65CDC8"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 xml:space="preserve">En consecuencia, el marco teórico del Pivote Transversal debe apoyarse en cuatro enfoques complementarios: capacidades institucionales, gobernanza sectorial, arquitectura institucional y gestión del conocimiento. Estos enfoques permiten explicar que la debilidad del análisis no proviene únicamente </w:t>
      </w:r>
      <w:r w:rsidRPr="00E51078">
        <w:rPr>
          <w:rFonts w:asciiTheme="majorHAnsi" w:hAnsiTheme="majorHAnsi" w:cstheme="majorHAnsi"/>
        </w:rPr>
        <w:lastRenderedPageBreak/>
        <w:t>de la ausencia de datos, sino de la falta de mecanismos estables para conectar información técnica, normativa, territorial y social producida por distintas dependencias y documentos del sector.</w:t>
      </w:r>
    </w:p>
    <w:p w14:paraId="52946EB6" w14:textId="77777777" w:rsidR="00E51078" w:rsidRPr="00E51078" w:rsidRDefault="00E51078" w:rsidP="00A86834">
      <w:pPr>
        <w:pStyle w:val="Ttulo1"/>
      </w:pPr>
      <w:bookmarkStart w:id="253" w:name="_Toc235108044"/>
      <w:r w:rsidRPr="00E51078">
        <w:t>Marco conceptual</w:t>
      </w:r>
      <w:bookmarkEnd w:id="253"/>
    </w:p>
    <w:p w14:paraId="23681C1A" w14:textId="77777777" w:rsidR="00E51078" w:rsidRPr="00E51078" w:rsidRDefault="00E51078" w:rsidP="00E51078">
      <w:pPr>
        <w:pStyle w:val="Ttulo2"/>
      </w:pPr>
      <w:bookmarkStart w:id="254" w:name="_Toc235108045"/>
      <w:r w:rsidRPr="00E51078">
        <w:t>Transición Energética Justa como categoría analítica multidimensional</w:t>
      </w:r>
      <w:bookmarkEnd w:id="254"/>
    </w:p>
    <w:p w14:paraId="6C0ADF12"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La Transición Energética Justa (TEJ) no puede entenderse únicamente como una política sectorial. Más bien, funciona como una categoría analítica que permite leer de manera integrada procesos de transformación estructural, redistribución de impactos y reorganización institucional (DNP, 2022; IEA, 2023).</w:t>
      </w:r>
    </w:p>
    <w:p w14:paraId="781C9645" w14:textId="77777777" w:rsidR="00E51078" w:rsidRPr="00E51078" w:rsidRDefault="00E51078" w:rsidP="00E51078">
      <w:pPr>
        <w:spacing w:after="0"/>
        <w:jc w:val="both"/>
        <w:rPr>
          <w:rFonts w:asciiTheme="majorHAnsi" w:hAnsiTheme="majorHAnsi" w:cstheme="majorHAnsi"/>
        </w:rPr>
      </w:pPr>
    </w:p>
    <w:p w14:paraId="7BBDC215"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En el marco del Plan Nacional de Desarrollo 2022–2026, este enfoque se orienta a garantizar una distribución más equitativa de las cargas y beneficios asociados a la transformación del sistema energético, desde una óptica conceptual, la TEJ puede analizarse en tres niveles que se relacionan entre sí.</w:t>
      </w:r>
    </w:p>
    <w:p w14:paraId="39CBAAEC" w14:textId="77777777" w:rsidR="00E51078" w:rsidRPr="00E51078" w:rsidRDefault="00E51078" w:rsidP="00E51078">
      <w:pPr>
        <w:spacing w:after="0"/>
        <w:jc w:val="both"/>
        <w:rPr>
          <w:rFonts w:asciiTheme="majorHAnsi" w:hAnsiTheme="majorHAnsi" w:cstheme="majorHAnsi"/>
        </w:rPr>
      </w:pPr>
    </w:p>
    <w:p w14:paraId="5568ECFC"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En un primer nivel, se encuentra la transformación de la matriz energética y productiva. Aquí se ubican aspectos como la incorporación de fuentes no convencionales, la eficiencia energética, la diversificación tecnológica y el desarrollo de nuevos energéticos. Se trata de un componente predominantemente técnico.</w:t>
      </w:r>
    </w:p>
    <w:p w14:paraId="355863CD" w14:textId="77777777" w:rsidR="00E51078" w:rsidRPr="00E51078" w:rsidRDefault="00E51078" w:rsidP="00E51078">
      <w:pPr>
        <w:spacing w:after="0"/>
        <w:jc w:val="both"/>
        <w:rPr>
          <w:rFonts w:asciiTheme="majorHAnsi" w:hAnsiTheme="majorHAnsi" w:cstheme="majorHAnsi"/>
        </w:rPr>
      </w:pPr>
    </w:p>
    <w:p w14:paraId="1AF98AAA"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En un segundo nivel, la TEJ implica una reorganización territorial y socioeconómica. Las decisiones en materia energética generan efectos diferenciados en regiones y comunidades. Por ello, la transición justa supone considerar mecanismos de compensación, procesos de reconversión productiva y fortalecimiento de capacidades locales, especialmente en territorios con alta dependencia de actividades extractivas.</w:t>
      </w:r>
    </w:p>
    <w:p w14:paraId="72495167"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En un tercer nivel, menos visible pero determinante, se encuentra la dimensión institucional. En este plano, la coordinación entre sectores, la coherencia normativa y la calidad del entorno institucional se convierten en condiciones necesarias para la sostenibilidad del proceso. Es precisamente en este nivel donde se ubica el Pivote Transversal. Sin capacidades institucionales sólidas, la transición puede avanzar en lo técnico, pero enfrentar tensiones o fragmentaciones que afectan su continuidad.</w:t>
      </w:r>
    </w:p>
    <w:p w14:paraId="01C4DEB9" w14:textId="77777777" w:rsidR="00E51078" w:rsidRPr="00E51078" w:rsidRDefault="00E51078" w:rsidP="00E51078">
      <w:pPr>
        <w:spacing w:after="0"/>
        <w:jc w:val="both"/>
        <w:rPr>
          <w:rFonts w:asciiTheme="majorHAnsi" w:hAnsiTheme="majorHAnsi" w:cstheme="majorHAnsi"/>
        </w:rPr>
      </w:pPr>
    </w:p>
    <w:p w14:paraId="78A10DE2"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 xml:space="preserve">La revisión de los documentos sectoriales permite agregar un cuarto plano de lectura: las problemáticas transversales de la TEJ. Estas no pertenecen exclusivamente a un subsector, sino que atraviesan energía, minería e hidrocarburos. Entre ellas se destacan la transparencia y los sistemas de seguimiento, la participación vinculante y la consulta previa, la gestión de conflictos socioambientales, la protección de derechos humanos y paz territorial, y los </w:t>
      </w:r>
      <w:proofErr w:type="gramStart"/>
      <w:r w:rsidRPr="00E51078">
        <w:rPr>
          <w:rFonts w:asciiTheme="majorHAnsi" w:hAnsiTheme="majorHAnsi" w:cstheme="majorHAnsi"/>
        </w:rPr>
        <w:t>enfoques étnico</w:t>
      </w:r>
      <w:proofErr w:type="gramEnd"/>
      <w:r w:rsidRPr="00E51078">
        <w:rPr>
          <w:rFonts w:asciiTheme="majorHAnsi" w:hAnsiTheme="majorHAnsi" w:cstheme="majorHAnsi"/>
        </w:rPr>
        <w:t xml:space="preserve"> y de género. Incorporar estas problemáticas fortalece el marco conceptual del Pivote Transversal, porque permite que la integración analítica no se limite a instrumentos sectoriales, sino que también observe condiciones de justicia, legitimidad y sostenibilidad institucional.</w:t>
      </w:r>
    </w:p>
    <w:p w14:paraId="559E9D86" w14:textId="77777777" w:rsidR="00E51078" w:rsidRPr="00E51078" w:rsidRDefault="00E51078" w:rsidP="00E51078">
      <w:pPr>
        <w:pStyle w:val="Ttulo2"/>
      </w:pPr>
      <w:bookmarkStart w:id="255" w:name="_Toc235108046"/>
      <w:r w:rsidRPr="00E51078">
        <w:t>Gestión del conocimiento como capacidad institucional</w:t>
      </w:r>
      <w:bookmarkEnd w:id="255"/>
    </w:p>
    <w:p w14:paraId="410E095A"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El análisis estratégico sectorial requiere un sistema de gestión del conocimiento que permita transformar información dispersa en insumos acumulativos (Nonaka &amp; Takeuchi, 1995).</w:t>
      </w:r>
    </w:p>
    <w:p w14:paraId="52899C35" w14:textId="77777777" w:rsidR="00E51078" w:rsidRPr="00E51078" w:rsidRDefault="00E51078" w:rsidP="00E51078">
      <w:pPr>
        <w:spacing w:after="0"/>
        <w:jc w:val="both"/>
        <w:rPr>
          <w:rFonts w:asciiTheme="majorHAnsi" w:hAnsiTheme="majorHAnsi" w:cstheme="majorHAnsi"/>
        </w:rPr>
      </w:pPr>
    </w:p>
    <w:p w14:paraId="043A8748"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Esto implica no solo capturar información, sino organizarla, analizarla y retroalimentarla de manera sistemática, en el caso del Pivote Transversal, esta gestión del conocimiento se orienta a consolidar una base analítica que sirva de soporte para la formulación de conclusiones y recomendaciones. No se trata de intervenir documentos en curso ni de generar desarrollos técnicos adicionales, sino de integrar información existente para fortalecer la toma de decisiones institucional.</w:t>
      </w:r>
    </w:p>
    <w:p w14:paraId="54648975" w14:textId="77777777" w:rsidR="00E51078" w:rsidRPr="00E51078" w:rsidRDefault="00E51078" w:rsidP="00E51078">
      <w:pPr>
        <w:spacing w:after="0"/>
        <w:jc w:val="both"/>
        <w:rPr>
          <w:rFonts w:asciiTheme="majorHAnsi" w:hAnsiTheme="majorHAnsi" w:cstheme="majorHAnsi"/>
        </w:rPr>
      </w:pPr>
    </w:p>
    <w:p w14:paraId="2FFA1F1A"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Este punto es importante para diferenciar el alcance del Pivote Transversal. La gestión del conocimiento no implica revisar o corregir los documentos sectoriales, sino aprovechar sus resultados para construir una lectura comparada y acumulativa. En la práctica, esto puede traducirse en matrices de hallazgos comunes, identificación de vacíos recurrentes, seguimiento de recomendaciones, bancos de problemas transversales y síntesis ejecutivas para la alta dirección.</w:t>
      </w:r>
    </w:p>
    <w:p w14:paraId="2987FADE" w14:textId="77777777" w:rsidR="00E51078" w:rsidRPr="00E51078" w:rsidRDefault="00E51078" w:rsidP="00E51078">
      <w:pPr>
        <w:pStyle w:val="Ttulo2"/>
      </w:pPr>
      <w:bookmarkStart w:id="256" w:name="_Toc235108047"/>
      <w:r w:rsidRPr="00E51078">
        <w:t>Integración analítica como capacidad institucional estratégica</w:t>
      </w:r>
      <w:bookmarkEnd w:id="256"/>
    </w:p>
    <w:p w14:paraId="60AFE8FE"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 xml:space="preserve">La integración analítica puede entenderse como la capacidad de articular e interpretar información proveniente de distintos ámbitos —sectorial, institucional y territorial— de manera coherente (OECD, </w:t>
      </w:r>
      <w:r w:rsidRPr="00E51078">
        <w:rPr>
          <w:rFonts w:asciiTheme="majorHAnsi" w:hAnsiTheme="majorHAnsi" w:cstheme="majorHAnsi"/>
        </w:rPr>
        <w:lastRenderedPageBreak/>
        <w:t>2020). No se trata únicamente de reunir información, sino de construir una lectura conjunta que permita identificar relaciones, tensiones y posibles implicaciones para la toma de decisiones.</w:t>
      </w:r>
    </w:p>
    <w:p w14:paraId="578A4A03" w14:textId="77777777" w:rsidR="00E51078" w:rsidRPr="00E51078" w:rsidRDefault="00E51078" w:rsidP="00E51078">
      <w:pPr>
        <w:spacing w:after="0"/>
        <w:jc w:val="both"/>
        <w:rPr>
          <w:rFonts w:asciiTheme="majorHAnsi" w:hAnsiTheme="majorHAnsi" w:cstheme="majorHAnsi"/>
        </w:rPr>
      </w:pPr>
    </w:p>
    <w:p w14:paraId="6F464AF3"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 xml:space="preserve">A partir de los avances sectoriales, esta integración debe considerar al menos tres tipos de información: i) información normativa e institucional, relacionada con leyes, CONPES, decretos, planes sectoriales y competencias de entidades; </w:t>
      </w:r>
      <w:proofErr w:type="spellStart"/>
      <w:r w:rsidRPr="00E51078">
        <w:rPr>
          <w:rFonts w:asciiTheme="majorHAnsi" w:hAnsiTheme="majorHAnsi" w:cstheme="majorHAnsi"/>
        </w:rPr>
        <w:t>ii</w:t>
      </w:r>
      <w:proofErr w:type="spellEnd"/>
      <w:r w:rsidRPr="00E51078">
        <w:rPr>
          <w:rFonts w:asciiTheme="majorHAnsi" w:hAnsiTheme="majorHAnsi" w:cstheme="majorHAnsi"/>
        </w:rPr>
        <w:t xml:space="preserve">) información territorial y social, vinculada con conflictos, actores, percepciones, participación y enfoques diferenciales; y </w:t>
      </w:r>
      <w:proofErr w:type="spellStart"/>
      <w:r w:rsidRPr="00E51078">
        <w:rPr>
          <w:rFonts w:asciiTheme="majorHAnsi" w:hAnsiTheme="majorHAnsi" w:cstheme="majorHAnsi"/>
        </w:rPr>
        <w:t>iii</w:t>
      </w:r>
      <w:proofErr w:type="spellEnd"/>
      <w:r w:rsidRPr="00E51078">
        <w:rPr>
          <w:rFonts w:asciiTheme="majorHAnsi" w:hAnsiTheme="majorHAnsi" w:cstheme="majorHAnsi"/>
        </w:rPr>
        <w:t>) información económica y fiscal, asociada a seguridad energética, sostenibilidad de ingresos, incentivos, subsidios, regalías y costos de implementación. Esta clasificación permite que el Pivote Transversal no opere como un simple repositorio documental, sino como una herramienta de análisis estratégico.</w:t>
      </w:r>
    </w:p>
    <w:p w14:paraId="76B641C3" w14:textId="77777777" w:rsidR="00E51078" w:rsidRPr="00E51078" w:rsidRDefault="00E51078" w:rsidP="00E51078">
      <w:pPr>
        <w:spacing w:after="0"/>
        <w:jc w:val="both"/>
        <w:rPr>
          <w:rFonts w:asciiTheme="majorHAnsi" w:hAnsiTheme="majorHAnsi" w:cstheme="majorHAnsi"/>
        </w:rPr>
      </w:pPr>
    </w:p>
    <w:p w14:paraId="4905CED9"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En el sector minero–energético, donde convergen múltiples instrumentos de política, actores y dinámicas territoriales, esta capacidad resulta especialmente relevante. La información suele producirse de manera especializada, lo que dificulta su lectura integral y limita su aprovechamiento estratégico.</w:t>
      </w:r>
    </w:p>
    <w:p w14:paraId="7EDD4228"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Basado en lo anterior, la integración analítica no implica homogenizar los análisis técnicos ni sustituir los enfoques sectoriales. Por el contrario, parte de esas especificidades para construir una lectura transversal que permita identificar interdependencias y reconocer posibles tensiones aquí el Pivote Transversal se configura como un mecanismo orientado a fortalecer esta capacidad, al facilitar la transformación de información dispersa en conocimiento estructurado útil para la toma de decisiones.</w:t>
      </w:r>
    </w:p>
    <w:p w14:paraId="093FE4E2"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Esta capacidad también permite reconocer diferencias entre los pivotes. Mientras energía enfatiza la transformación de la matriz, la resiliencia climática y la relación Estado-ciudadanía; hidrocarburos pone en evidencia tensiones entre transición, seguridad energética y dependencia económica; y minería concentra debates sobre regulación, formalización, minerales estratégicos y protección ambiental. El Pivote Transversal debe partir de esas especificidades para construir una lectura común, evitando homogeneizar realidades sectoriales que tienen ritmos, riesgos y actores distintos.</w:t>
      </w:r>
    </w:p>
    <w:p w14:paraId="733C5863" w14:textId="77777777" w:rsidR="00E51078" w:rsidRPr="00E51078" w:rsidRDefault="00E51078" w:rsidP="00E51078">
      <w:pPr>
        <w:pStyle w:val="Ttulo2"/>
      </w:pPr>
      <w:bookmarkStart w:id="257" w:name="_Toc235108048"/>
      <w:r w:rsidRPr="00E51078">
        <w:t>Caracterización estratégica de actores y grupos de valor</w:t>
      </w:r>
      <w:bookmarkEnd w:id="257"/>
    </w:p>
    <w:p w14:paraId="6D17C732"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La implementación de la Transición Energética Justa se desarrolla en un entorno donde intervienen múltiples actores con intereses, capacidades y niveles de incidencia distintos (</w:t>
      </w:r>
      <w:proofErr w:type="spellStart"/>
      <w:r w:rsidRPr="00E51078">
        <w:rPr>
          <w:rFonts w:asciiTheme="majorHAnsi" w:hAnsiTheme="majorHAnsi" w:cstheme="majorHAnsi"/>
          <w:sz w:val="22"/>
          <w:szCs w:val="22"/>
        </w:rPr>
        <w:t>World</w:t>
      </w:r>
      <w:proofErr w:type="spellEnd"/>
      <w:r w:rsidRPr="00E51078">
        <w:rPr>
          <w:rFonts w:asciiTheme="majorHAnsi" w:hAnsiTheme="majorHAnsi" w:cstheme="majorHAnsi"/>
          <w:sz w:val="22"/>
          <w:szCs w:val="22"/>
        </w:rPr>
        <w:t xml:space="preserve"> Bank, 2017).</w:t>
      </w:r>
      <w:r>
        <w:rPr>
          <w:rFonts w:asciiTheme="majorHAnsi" w:hAnsiTheme="majorHAnsi" w:cstheme="majorHAnsi"/>
          <w:sz w:val="22"/>
          <w:szCs w:val="22"/>
        </w:rPr>
        <w:t xml:space="preserve"> </w:t>
      </w:r>
      <w:r w:rsidRPr="00E51078">
        <w:rPr>
          <w:rFonts w:asciiTheme="majorHAnsi" w:hAnsiTheme="majorHAnsi" w:cstheme="majorHAnsi"/>
          <w:sz w:val="22"/>
          <w:szCs w:val="22"/>
        </w:rPr>
        <w:t xml:space="preserve">Este </w:t>
      </w:r>
      <w:r w:rsidRPr="00E51078">
        <w:rPr>
          <w:rFonts w:asciiTheme="majorHAnsi" w:hAnsiTheme="majorHAnsi" w:cstheme="majorHAnsi"/>
          <w:sz w:val="22"/>
          <w:szCs w:val="22"/>
        </w:rPr>
        <w:lastRenderedPageBreak/>
        <w:t>variopinto abanico no solo refleja la complejidad del sector, sino que también incide directamente en la forma en que se formulan e implementan las políticas públicas.</w:t>
      </w:r>
    </w:p>
    <w:p w14:paraId="4441C578"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2A41739F"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Para fortalecer esta categoría, la caracterización debe incorporar variables que aparecen de manera recurrente en los demás pivotes: tipo de actor, capacidad de incidencia, relación con el territorio, nivel de afectación por la transición, posición frente a la TEJ, capacidad organizativa, intereses económicos o sociales, formas de participación y potencial de articulación institucional. Esta lectura resulta útil para conectar la oferta institucional del Ministerio con los grupos de valor y evitar aproximaciones generales que no reconozcan diferencias entre comunidades, empresas, gremios, sindicatos, academia, autoridades territoriales y entidades adscritas o vinculadas.</w:t>
      </w:r>
    </w:p>
    <w:p w14:paraId="2BFD6B3C"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3407B9C9"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En este escenario, la caracterización estratégica de actores y grupos de valor se plantea como una herramienta sistémica que permite comprender ese entorno. No se limita a identificar quiénes participan, sino que busca analizar cómo interactúan -factor fundamental-, qué niveles de incidencia tienen y cómo se posicionan frente a los procesos de transformación del sector y las realidades en los territorios.</w:t>
      </w:r>
    </w:p>
    <w:p w14:paraId="276F1775"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6BE3A943"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Este análisis permite reconocer oportunidades de articulación institucional y anticipar posibles tensiones en la implementación de las políticas. Asimismo, facilita una lectura más clara de las dinámicas territoriales y sectoriales que influyen en la Transición Energética Justa.</w:t>
      </w:r>
    </w:p>
    <w:p w14:paraId="17E14D4D"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395F546C"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Es importante señalar que esta caracterización se desarrolla desde un enfoque técnico e institucional. Su propósito no es clasificar actores en términos políticos, sino aportar elementos para fortalecer el relacionamiento institucional y mejorar la calidad de la interacción con los distintos actores.</w:t>
      </w:r>
    </w:p>
    <w:p w14:paraId="193677B9"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En el marco del Pivote Transversal, esta herramienta se integra como parte de un esfuerzo más amplio por construir una lectura estructurada del entorno en el que opera el sector.</w:t>
      </w:r>
    </w:p>
    <w:p w14:paraId="599BA86E"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439974F4" w14:textId="77777777" w:rsidR="00E51078" w:rsidRPr="00E51078" w:rsidRDefault="00E51078" w:rsidP="00E51078">
      <w:pPr>
        <w:pStyle w:val="Ttulo2"/>
      </w:pPr>
      <w:bookmarkStart w:id="258" w:name="_Toc235108049"/>
      <w:r w:rsidRPr="00E51078">
        <w:lastRenderedPageBreak/>
        <w:t>Interrelación conceptual entre TEJ, análisis estratégico y gobernanza sectorial</w:t>
      </w:r>
      <w:bookmarkEnd w:id="258"/>
    </w:p>
    <w:p w14:paraId="71288B2E"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La Transición Energética Justa, el análisis estratégico sectorial y el entorno normativo no operan como categorías independientes. Por el contrario, se configuran como dimensiones interrelacionadas dentro de un mismo sistema de gobernanza sectorial (</w:t>
      </w:r>
      <w:proofErr w:type="spellStart"/>
      <w:r w:rsidRPr="00E51078">
        <w:rPr>
          <w:rFonts w:asciiTheme="majorHAnsi" w:hAnsiTheme="majorHAnsi" w:cstheme="majorHAnsi"/>
        </w:rPr>
        <w:t>World</w:t>
      </w:r>
      <w:proofErr w:type="spellEnd"/>
      <w:r w:rsidRPr="00E51078">
        <w:rPr>
          <w:rFonts w:asciiTheme="majorHAnsi" w:hAnsiTheme="majorHAnsi" w:cstheme="majorHAnsi"/>
        </w:rPr>
        <w:t xml:space="preserve"> Bank, 2017).</w:t>
      </w:r>
    </w:p>
    <w:p w14:paraId="3B705C0C" w14:textId="77777777" w:rsidR="00E51078" w:rsidRPr="00E51078" w:rsidRDefault="00E51078" w:rsidP="00E51078">
      <w:pPr>
        <w:spacing w:after="0"/>
        <w:jc w:val="both"/>
        <w:rPr>
          <w:rFonts w:asciiTheme="majorHAnsi" w:hAnsiTheme="majorHAnsi" w:cstheme="majorHAnsi"/>
        </w:rPr>
      </w:pPr>
    </w:p>
    <w:p w14:paraId="60880768"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La lectura de los demás pivotes muestra que esa interrelación se expresa en decisiones concretas. La promoción de comunidades energéticas, la regulación de nuevos energéticos, la modernización del modelo minero, la continuidad responsable de los hidrocarburos, la gestión de beneficios comunitarios y la definición de instrumentos fiscales son asuntos que combinan componentes técnicos, normativos, territoriales y políticos. Por ello, la gobernanza sectorial no puede evaluarse únicamente desde la existencia de normas, sino desde la capacidad institucional para articularlas y hacer seguimiento a sus efectos.</w:t>
      </w:r>
    </w:p>
    <w:p w14:paraId="5D9112D2" w14:textId="77777777" w:rsidR="00E51078" w:rsidRPr="00E51078" w:rsidRDefault="00E51078" w:rsidP="00E51078">
      <w:pPr>
        <w:spacing w:after="0"/>
        <w:jc w:val="both"/>
        <w:rPr>
          <w:rFonts w:asciiTheme="majorHAnsi" w:hAnsiTheme="majorHAnsi" w:cstheme="majorHAnsi"/>
        </w:rPr>
      </w:pPr>
    </w:p>
    <w:p w14:paraId="218BEDAA"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La TEJ define el horizonte de transformación, el análisis estratégico permite integrar y evaluar los instrumentos que lo materializan, y el entorno normativo condiciona su viabilidad y sostenibilidad.</w:t>
      </w:r>
    </w:p>
    <w:p w14:paraId="10295167"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Cuando no existe integración analítica, los instrumentos sectoriales pueden avanzar de manera fragmentada, los desarrollos técnicos enfrentan incertidumbre y la acción institucional pierde dirección.</w:t>
      </w:r>
    </w:p>
    <w:p w14:paraId="1C248A34"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En ese escenario, la calidad de la gobernanza se ve afectada, entendida como la capacidad del Estado para coordinar actores, sostener coherencia normativa y garantizar estabilidad en procesos de transformación estructural.</w:t>
      </w:r>
    </w:p>
    <w:p w14:paraId="40D69FB1" w14:textId="77777777" w:rsidR="00E51078" w:rsidRPr="00E51078" w:rsidRDefault="00E51078" w:rsidP="00E51078">
      <w:pPr>
        <w:spacing w:after="0"/>
        <w:jc w:val="both"/>
        <w:rPr>
          <w:rFonts w:asciiTheme="majorHAnsi" w:hAnsiTheme="majorHAnsi" w:cstheme="majorHAnsi"/>
        </w:rPr>
      </w:pPr>
    </w:p>
    <w:p w14:paraId="04B928FD"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Desde esta perspectiva, el Pivote Transversal no debe interpretarse como un agregado administrativo. Responde a una necesidad de carácter conceptual: asegurar que la transición del sector minero–energético esté respaldada por capacidades institucionales que permitan integrar, acumular y proyectar información de manera estratégica.</w:t>
      </w:r>
    </w:p>
    <w:p w14:paraId="4E6623A9" w14:textId="77777777" w:rsidR="00E51078" w:rsidRPr="00E51078" w:rsidRDefault="00E51078" w:rsidP="00A86834">
      <w:pPr>
        <w:pStyle w:val="Ttulo1"/>
      </w:pPr>
      <w:bookmarkStart w:id="259" w:name="_Toc235108050"/>
      <w:r w:rsidRPr="00E51078">
        <w:lastRenderedPageBreak/>
        <w:t>Marco normativo</w:t>
      </w:r>
      <w:bookmarkEnd w:id="259"/>
      <w:r w:rsidRPr="00E51078">
        <w:t xml:space="preserve"> </w:t>
      </w:r>
    </w:p>
    <w:p w14:paraId="3F72FB9D"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El Pivote Transversal se fundamenta en un conjunto de instrumentos de política pública y de planeación estratégica que orientan la acción del Estado colombiano en el sector minero–energético y en la implementación de la Transición Energética Justa.</w:t>
      </w:r>
    </w:p>
    <w:p w14:paraId="392B7B1F"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541F19DF"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En primer lugar, el Plan Nacional de Desarrollo 2022–2026 define la Transición Energética Justa como uno de los ejes estructurantes de la política pública. A partir de este marco, se establecen lineamientos orientados a la transformación del sector en términos de sostenibilidad, equidad territorial, seguridad energética y fortalecimiento institucional.</w:t>
      </w:r>
    </w:p>
    <w:p w14:paraId="48305009"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007B42D0"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En segundo lugar, los documentos CONPES constituyen el principal referente de política de Estado para orientar la acción institucional en materia energética, territorial y social. En este escenario, el CONPES 4075 de 2022 fija lineamientos para avanzar en la transición energética y resalta el fortalecimiento institucional como una condición necesaria para su sostenibilidad. Por su parte, el CONPES 4158 impulsa la expansión de fuentes no convencionales de energía renovable a través de programas estratégicos como Colombia Solar. A esto se suman instrumentos en formulación, como la política nacional de hidrógeno de bajas emisiones, que amplían el horizonte tecnológico del sector y orientan su evolución hacia esquemas más sostenibles.</w:t>
      </w:r>
    </w:p>
    <w:p w14:paraId="13BEDB5D"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1BF2424D"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De manera complementaria, los CONPES asociados a seguridad, derechos humanos, construcción de paz y desarrollo territorial —como los CONPES 3867, 4063, 4094, 3669 y aquellos relacionados con soluciones duraderas para víctimas de desplazamiento forzado— incorporan elementos clave sobre capacidades territoriales, condiciones sociales y articulación institucional. Estos instrumentos resultan especialmente relevantes para comprender los riesgos y desafíos de la transición energética en contextos de alta complejidad, particularmente en territorios con presencia de economías ilícitas, conflictividad social o debilidad institucional.</w:t>
      </w:r>
    </w:p>
    <w:p w14:paraId="37E635D7"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15AC3B3C"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 xml:space="preserve">Adicionalmente, los marcos normativos revisados en los demás pivotes sugieren fortalecer este apartado con instrumentos directamente asociados a la transición sectorial, entre ellos la Ley 1715 de 2014 sobre </w:t>
      </w:r>
      <w:r w:rsidRPr="00E51078">
        <w:rPr>
          <w:rFonts w:asciiTheme="majorHAnsi" w:hAnsiTheme="majorHAnsi" w:cstheme="majorHAnsi"/>
          <w:sz w:val="22"/>
          <w:szCs w:val="22"/>
        </w:rPr>
        <w:lastRenderedPageBreak/>
        <w:t>fuentes no convencionales de energía renovable, la Ley 2099 de 2021 sobre transición energética, la Ley 2169 de 2021 sobre acción climática, la Ley 2294 de 2023 del Plan Nacional de Desarrollo, el Decreto 2236 de 2023 sobre comunidades energéticas y los desarrollos regulatorios recientes sobre hidrógeno, geotermia, autogeneración, almacenamiento y eficiencia energética. Estos instrumentos permiten conectar el marco normativo del Pivote Transversal con los desarrollos específicos que están siendo analizados por los pivotes sectoriales.</w:t>
      </w:r>
    </w:p>
    <w:p w14:paraId="0B69188F"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59DFDC6C"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En tercer lugar, los instrumentos de planeación sectorial del Ministerio de Minas y Energía, como los planes sectoriales de energía, minería e hidrocarburos, así como el IPEM, constituyen el marco operativo que permite aterrizar estos lineamientos en acciones concretas. Estos instrumentos integran dimensiones técnicas, institucionales y territoriales propias del sector y orientan su implementación en el mediano y largo plazo.</w:t>
      </w:r>
    </w:p>
    <w:p w14:paraId="7C17F718"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 xml:space="preserve">En conjunto, este marco normativo configura un entorno institucional robusto que orienta la acción del sector minero–energético. Sin embargo, la coexistencia de múltiples instrumentos, niveles de decisión y dinámicas sectoriales también plantea retos en términos de articulación. Bajo esa lógica, se hace evidente la necesidad de fortalecer capacidades institucionales que permitan integrar esta información, reducir la fragmentación analítica y asegurar coherencia en la implementación de la Transición Energética Justa. Es en este punto donde el Pivote Transversal adquiere sentido, al proponerse como un mecanismo orientado a consolidar esa capacidad de integración estratégica. </w:t>
      </w:r>
    </w:p>
    <w:p w14:paraId="3E6F4815" w14:textId="77777777" w:rsidR="00E51078" w:rsidRPr="00E51078" w:rsidRDefault="00E51078" w:rsidP="00A86834">
      <w:pPr>
        <w:pStyle w:val="Ttulo1"/>
      </w:pPr>
      <w:bookmarkStart w:id="260" w:name="_Toc235108051"/>
      <w:r w:rsidRPr="00E51078">
        <w:t>Problemática</w:t>
      </w:r>
      <w:bookmarkEnd w:id="260"/>
    </w:p>
    <w:p w14:paraId="4E2D2AEA" w14:textId="77777777" w:rsidR="00E51078" w:rsidRPr="00E51078" w:rsidRDefault="00E51078" w:rsidP="00E51078">
      <w:pPr>
        <w:pStyle w:val="Ttulo2"/>
      </w:pPr>
      <w:bookmarkStart w:id="261" w:name="_Toc235108052"/>
      <w:r w:rsidRPr="00E51078">
        <w:t>Naturaleza del problema: debilidad analítica como brecha institucional</w:t>
      </w:r>
      <w:bookmarkEnd w:id="261"/>
    </w:p>
    <w:p w14:paraId="35D43251"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El problema identificado en el proyecto de inversión no corresponde a la ausencia de política pública sectorial ni a la falta de lineamientos estratégicos para la Transición Energética Justa. Colombia cuenta con instrumentos robustos como el Plan Nacional de Desarrollo 2022–2026, el CONPES 4075 de 2022, el Plan Energético Nacional y los planes sectoriales de minería e hidrocarburos. Tampoco se trata de una insuficiencia técnica en los equipos sectoriales.</w:t>
      </w:r>
    </w:p>
    <w:p w14:paraId="289B2911" w14:textId="77777777" w:rsidR="00E51078" w:rsidRPr="00E51078" w:rsidRDefault="00E51078" w:rsidP="00E51078">
      <w:pPr>
        <w:spacing w:after="0"/>
        <w:jc w:val="both"/>
        <w:rPr>
          <w:rFonts w:asciiTheme="majorHAnsi" w:hAnsiTheme="majorHAnsi" w:cstheme="majorHAnsi"/>
        </w:rPr>
      </w:pPr>
    </w:p>
    <w:p w14:paraId="63832A45"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lastRenderedPageBreak/>
        <w:t>La revisión comparada de los avances de los demás pivotes confirma esta conclusión. Los documentos sectoriales contienen desarrollos técnicos específicos, diagnósticos normativos, metodologías de levantamiento de información y enfoques particulares sobre actores y territorios. La brecha del Pivote Transversal no está en sustituir esos análisis, sino en construir una capacidad que permita identificar los puntos de cruce entre ellos, especialmente cuando los hallazgos de un subsector tienen efectos sobre los demás.</w:t>
      </w:r>
    </w:p>
    <w:p w14:paraId="39F982A4" w14:textId="77777777" w:rsidR="00E51078" w:rsidRPr="00E51078" w:rsidRDefault="00E51078" w:rsidP="00E51078">
      <w:pPr>
        <w:spacing w:after="0"/>
        <w:jc w:val="both"/>
        <w:rPr>
          <w:rFonts w:asciiTheme="majorHAnsi" w:hAnsiTheme="majorHAnsi" w:cstheme="majorHAnsi"/>
        </w:rPr>
      </w:pPr>
    </w:p>
    <w:p w14:paraId="3415A4CC"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La brecha se ubica en un nivel distinto, la necesidad de integrar, interpretar y proyectar de manera conjunta la información sectorial e institucional, por ello se identifica que esta debilidad se manifiesta en tres planos interrelacionados</w:t>
      </w:r>
      <w:r>
        <w:rPr>
          <w:rFonts w:asciiTheme="majorHAnsi" w:hAnsiTheme="majorHAnsi" w:cstheme="majorHAnsi"/>
        </w:rPr>
        <w:t>:</w:t>
      </w:r>
    </w:p>
    <w:p w14:paraId="3D5FEA12" w14:textId="77777777" w:rsidR="00E51078" w:rsidRPr="00E51078" w:rsidRDefault="00E51078" w:rsidP="00721806">
      <w:pPr>
        <w:pStyle w:val="Prrafodelista"/>
        <w:numPr>
          <w:ilvl w:val="0"/>
          <w:numId w:val="58"/>
        </w:numPr>
        <w:suppressAutoHyphens/>
        <w:spacing w:after="0"/>
        <w:ind w:left="284" w:firstLine="0"/>
        <w:jc w:val="both"/>
        <w:rPr>
          <w:rFonts w:asciiTheme="majorHAnsi" w:hAnsiTheme="majorHAnsi" w:cstheme="majorHAnsi"/>
        </w:rPr>
      </w:pPr>
      <w:r w:rsidRPr="00E51078">
        <w:rPr>
          <w:rFonts w:asciiTheme="majorHAnsi" w:hAnsiTheme="majorHAnsi" w:cstheme="majorHAnsi"/>
        </w:rPr>
        <w:t>En primer lugar, existe fragmentación en la información sectorial que limita su uso estratégico e institucional para la toma de decisiones. Los desarrollos técnicos producidos por los equipos sectoriales no siempre se traducen en insumos sistematizados que faciliten su uso transversal.</w:t>
      </w:r>
    </w:p>
    <w:p w14:paraId="23A384B7" w14:textId="77777777" w:rsidR="00E51078" w:rsidRPr="00E51078" w:rsidRDefault="00E51078" w:rsidP="00721806">
      <w:pPr>
        <w:pStyle w:val="Prrafodelista"/>
        <w:numPr>
          <w:ilvl w:val="0"/>
          <w:numId w:val="58"/>
        </w:numPr>
        <w:suppressAutoHyphens/>
        <w:spacing w:after="0"/>
        <w:ind w:left="284" w:firstLine="0"/>
        <w:jc w:val="both"/>
        <w:rPr>
          <w:rFonts w:asciiTheme="majorHAnsi" w:hAnsiTheme="majorHAnsi" w:cstheme="majorHAnsi"/>
        </w:rPr>
      </w:pPr>
      <w:r w:rsidRPr="00E51078">
        <w:rPr>
          <w:rFonts w:asciiTheme="majorHAnsi" w:hAnsiTheme="majorHAnsi" w:cstheme="majorHAnsi"/>
        </w:rPr>
        <w:t>También se observa que la información proveniente de distintas fuentes institucionales —incluyendo insumos normativos y legislativos— no siempre se integra de manera estructurada en los procesos de análisis institucional. La información se gestiona de manera reactiva y, aunque han existido iniciativas de consolidación en bases estratégicas, estas no se han traducido en la identificación de patrones, riesgos normativos o tendencias de discusión.</w:t>
      </w:r>
    </w:p>
    <w:p w14:paraId="53272198" w14:textId="77777777" w:rsidR="00E51078" w:rsidRDefault="00E51078" w:rsidP="00721806">
      <w:pPr>
        <w:pStyle w:val="Prrafodelista"/>
        <w:numPr>
          <w:ilvl w:val="0"/>
          <w:numId w:val="58"/>
        </w:numPr>
        <w:suppressAutoHyphens/>
        <w:spacing w:after="0"/>
        <w:ind w:left="284" w:firstLine="0"/>
        <w:jc w:val="both"/>
        <w:rPr>
          <w:rFonts w:asciiTheme="majorHAnsi" w:hAnsiTheme="majorHAnsi" w:cstheme="majorHAnsi"/>
        </w:rPr>
      </w:pPr>
      <w:r w:rsidRPr="00E51078">
        <w:rPr>
          <w:rFonts w:asciiTheme="majorHAnsi" w:hAnsiTheme="majorHAnsi" w:cstheme="majorHAnsi"/>
        </w:rPr>
        <w:t>En tercer lugar, la caracterización de actores y grupos de valor no se encuentra plenamente estructurada como herramienta analítica permanente. Esto limita la capacidad del Ministerio para anticipar posiciones políticas, comprender intereses sectoriales o diseñar estrategias de comunicación técnica diferenciadas. Adicionalmente, la gestión de esta información no está institucionalizada mediante un sistema formal de captura, sistematización y transferencia de conocimiento, lo que implica que su consolidación depende en gran medida de capacidades individuales y dinámicas operativas específicas. En contextos de rotación de personal o ajustes organizacionales, esta situación genera discontinuidad en los procesos de análisis y pérdida de memoria institucional, afectando la consolidación de capacidades estratégicas como atributo estructural y sostenible de la entidad.</w:t>
      </w:r>
    </w:p>
    <w:p w14:paraId="1F409824" w14:textId="77777777" w:rsidR="00E51078" w:rsidRPr="00E51078" w:rsidRDefault="00E51078" w:rsidP="00E51078">
      <w:pPr>
        <w:pStyle w:val="Prrafodelista"/>
        <w:suppressAutoHyphens/>
        <w:spacing w:after="0"/>
        <w:ind w:left="0"/>
        <w:jc w:val="both"/>
        <w:rPr>
          <w:rFonts w:asciiTheme="majorHAnsi" w:hAnsiTheme="majorHAnsi" w:cstheme="majorHAnsi"/>
        </w:rPr>
      </w:pPr>
    </w:p>
    <w:p w14:paraId="0C196157"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lastRenderedPageBreak/>
        <w:t>La conjunción de estos factores configura una debilidad institucional que, en el contexto de la TEJ, puede amplificar riesgos regulatorios y afectar la gobernanza sectorial.</w:t>
      </w:r>
    </w:p>
    <w:p w14:paraId="44B80C4A" w14:textId="77777777" w:rsidR="00E51078" w:rsidRPr="00E51078" w:rsidRDefault="00E51078" w:rsidP="00E51078">
      <w:pPr>
        <w:spacing w:after="0"/>
        <w:jc w:val="both"/>
        <w:rPr>
          <w:rFonts w:asciiTheme="majorHAnsi" w:hAnsiTheme="majorHAnsi" w:cstheme="majorHAnsi"/>
        </w:rPr>
      </w:pPr>
    </w:p>
    <w:p w14:paraId="63BC49DF"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A esta debilidad se suma un riesgo adicional: la pérdida de trazabilidad entre hallazgos sectoriales y decisiones institucionales. Si los resultados de energía, minería e hidrocarburos no se organizan bajo categorías comparables, el Ministerio puede contar con información abundante, pero limitada para construir posiciones integradas, priorizar acciones, identificar alertas comunes o alimentar procesos de planificación estratégica. Esta situación justifica que el Pivote Transversal avance hacia herramientas de comparación y síntesis sectorial.</w:t>
      </w:r>
    </w:p>
    <w:p w14:paraId="496AEBCB" w14:textId="77777777" w:rsidR="00E51078" w:rsidRDefault="00E51078" w:rsidP="00E51078">
      <w:pPr>
        <w:pStyle w:val="Ttulo2"/>
      </w:pPr>
      <w:bookmarkStart w:id="262" w:name="_Toc235108053"/>
      <w:r w:rsidRPr="00E51078">
        <w:t>Causas estructurales del problema</w:t>
      </w:r>
      <w:bookmarkEnd w:id="262"/>
    </w:p>
    <w:p w14:paraId="25E4A749" w14:textId="77777777" w:rsidR="00E51078" w:rsidRPr="00E51078" w:rsidRDefault="00E51078" w:rsidP="00E51078">
      <w:pPr>
        <w:pStyle w:val="Prrafodelista"/>
        <w:suppressAutoHyphens/>
        <w:spacing w:after="0"/>
        <w:ind w:left="0"/>
        <w:jc w:val="both"/>
        <w:rPr>
          <w:rFonts w:asciiTheme="majorHAnsi" w:hAnsiTheme="majorHAnsi" w:cstheme="majorHAnsi"/>
          <w:b/>
          <w:bCs/>
          <w:color w:val="D49E21"/>
        </w:rPr>
      </w:pPr>
    </w:p>
    <w:p w14:paraId="4FF25B82"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El análisis del árbol del problema permite identificar que la debilidad en el análisis estratégico no es un fenómeno aislado, sino el resultado de condiciones estructurales acumuladas en la organización y gestión de la información sectorial.</w:t>
      </w:r>
    </w:p>
    <w:p w14:paraId="1FAD68B7"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5A96E9D4"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Una de las causas directas radica en el bajo desarrollo de herramientas analíticas orientadas a la integración sectorial e institucional. Si bien el Ministerio cuenta con una producción técnica robusta en los tres pivotes sectoriales —energía, minería e hidrocarburos—, esta información se genera bajo lógicas especializadas y no siempre se articula en un sistema que permita su lectura transversal, comparabilidad y aprovechamiento estratégico. Como resultado, se presentan limitaciones para identificar interdependencias, coherencias y posibles tensiones entre los distintos componentes del sector.</w:t>
      </w:r>
    </w:p>
    <w:p w14:paraId="6A955071"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7D3BE480"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Adicionalmente, la información institucional se gestiona de manera fragmentada y responde en muchos casos a dinámicas operativas específicas, sin consolidarse en un sistema estructurado de gestión del conocimiento que permita su acumulación, reutilización y proyección estratégica. Esta situación limita la capacidad del Ministerio para transformar información dispersa en insumos analíticos integrados.</w:t>
      </w:r>
    </w:p>
    <w:p w14:paraId="7DBA0073"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63B04904"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lastRenderedPageBreak/>
        <w:t>Otra causa estructural identificada es la ausencia de una matriz común de problemáticas transversales. Los demás pivotes abordan temas como conflictividad socioambiental, participación, consulta previa, seguridad energética, reconversión productiva, eficiencia regulatoria, comunidades energéticas, minería artesanal, nuevos energéticos y dependencia fiscal. Sin una matriz común, estos temas pueden quedar dispersos en documentos separados, dificultando su uso para decisiones de alto nivel.</w:t>
      </w:r>
    </w:p>
    <w:p w14:paraId="7CEE076D"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529FCCCB"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En el plano indirecto, la ausencia de una caracterización estratégica consolidada de actores y grupos de valor dificulta la comprensión integral del entorno institucional, territorial y sectorial en el que se implementa la Transición Energética Justa. Sin herramientas analíticas que permitan identificar niveles de incidencia, intereses y dinámicas de interacción, se reduce la capacidad de anticipación institucional y se incrementa la incertidumbre en los procesos de toma de decisión.</w:t>
      </w:r>
    </w:p>
    <w:p w14:paraId="57806CAC"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74D5F605"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En conjunto, estas condiciones evidencian una debilidad estructural en la integración analítica del Ministerio, que limita la construcción de una lectura estratégica sectorial coherente y afecta la capacidad institucional para gestionar la complejidad de la Transición Energética Justa.</w:t>
      </w:r>
    </w:p>
    <w:p w14:paraId="4F4C2177"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36ACB19D" w14:textId="77777777" w:rsidR="00E51078" w:rsidRPr="00E51078" w:rsidRDefault="00E51078" w:rsidP="00E51078">
      <w:pPr>
        <w:pStyle w:val="Ttulo2"/>
      </w:pPr>
      <w:bookmarkStart w:id="263" w:name="_Toc235108054"/>
      <w:r w:rsidRPr="00E51078">
        <w:t>Relación entre el problema identificado y el objetivo del proyecto</w:t>
      </w:r>
      <w:bookmarkEnd w:id="263"/>
    </w:p>
    <w:p w14:paraId="1A26B6A5"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El objetivo general del proyecto de inversión —fortalecer el análisis estratégico sectorial y legislativo del Ministerio de Minas y Energía en el marco de la Transición Energética Justa— se configura como una respuesta directa y proporcional a la brecha institucional identificada.</w:t>
      </w:r>
    </w:p>
    <w:p w14:paraId="5A398CEA"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6CDFD6F4"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Este objetivo define el alcance integral del proyecto, el cual se estructura a partir de diferentes componentes o pivotes que abordan dimensiones específicas del fortalecimiento institucional. Desde esta perspectiva, el Pivote Transversal se inscribe dentro de dicho objetivo general, pero con un alcance particular centrado en el fortalecimiento de la integración analítica sectorial e institucional del Ministerio.</w:t>
      </w:r>
    </w:p>
    <w:p w14:paraId="624648B2"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 xml:space="preserve">Es importante resaltar que el Pivote Transversal no asume funciones propias del análisis legislativo ni duplica las competencias de otros componentes del proyecto. Su aporte específico radica en consolidar una arquitectura metodológica que permita articular la información proveniente de los pivotes sectoriales </w:t>
      </w:r>
      <w:r w:rsidRPr="00E51078">
        <w:rPr>
          <w:rFonts w:asciiTheme="majorHAnsi" w:hAnsiTheme="majorHAnsi" w:cstheme="majorHAnsi"/>
          <w:sz w:val="22"/>
          <w:szCs w:val="22"/>
        </w:rPr>
        <w:lastRenderedPageBreak/>
        <w:t>—energía, minería e hidrocarburos—, fortalecer la gestión del conocimiento y construir una lectura estratégica integrada del sector.</w:t>
      </w:r>
    </w:p>
    <w:p w14:paraId="3D5FD0D2"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1FDAE14E"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A partir de este enfoque, el pivote contribuye al cumplimiento del objetivo general del proyecto mediante el desarrollo de herramientas orientadas a:</w:t>
      </w:r>
    </w:p>
    <w:p w14:paraId="2B023F16"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103AE8FD" w14:textId="77777777" w:rsidR="00E51078" w:rsidRPr="00E51078" w:rsidRDefault="00E51078" w:rsidP="00721806">
      <w:pPr>
        <w:pStyle w:val="NormalWeb"/>
        <w:numPr>
          <w:ilvl w:val="0"/>
          <w:numId w:val="59"/>
        </w:numPr>
        <w:spacing w:before="0" w:beforeAutospacing="0" w:after="0" w:afterAutospacing="0"/>
        <w:ind w:left="0" w:firstLine="0"/>
        <w:jc w:val="both"/>
        <w:rPr>
          <w:rFonts w:asciiTheme="majorHAnsi" w:hAnsiTheme="majorHAnsi" w:cstheme="majorHAnsi"/>
          <w:sz w:val="22"/>
          <w:szCs w:val="22"/>
        </w:rPr>
      </w:pPr>
      <w:r w:rsidRPr="00E51078">
        <w:rPr>
          <w:rFonts w:asciiTheme="majorHAnsi" w:hAnsiTheme="majorHAnsi" w:cstheme="majorHAnsi"/>
          <w:sz w:val="22"/>
          <w:szCs w:val="22"/>
        </w:rPr>
        <w:t>Integrar información proveniente de los tres pivotes sectoriales, facilitando su lectura conjunta y la identificación de coherencias e interdependencias.</w:t>
      </w:r>
    </w:p>
    <w:p w14:paraId="3F08FC04" w14:textId="77777777" w:rsidR="00E51078" w:rsidRPr="00E51078" w:rsidRDefault="00E51078" w:rsidP="00721806">
      <w:pPr>
        <w:pStyle w:val="NormalWeb"/>
        <w:numPr>
          <w:ilvl w:val="0"/>
          <w:numId w:val="59"/>
        </w:numPr>
        <w:spacing w:before="0" w:beforeAutospacing="0" w:after="0" w:afterAutospacing="0"/>
        <w:ind w:left="0" w:firstLine="0"/>
        <w:jc w:val="both"/>
        <w:rPr>
          <w:rFonts w:asciiTheme="majorHAnsi" w:hAnsiTheme="majorHAnsi" w:cstheme="majorHAnsi"/>
          <w:sz w:val="22"/>
          <w:szCs w:val="22"/>
        </w:rPr>
      </w:pPr>
      <w:r w:rsidRPr="00E51078">
        <w:rPr>
          <w:rFonts w:asciiTheme="majorHAnsi" w:hAnsiTheme="majorHAnsi" w:cstheme="majorHAnsi"/>
          <w:sz w:val="22"/>
          <w:szCs w:val="22"/>
        </w:rPr>
        <w:t>Estructurar una caracterización estratégica de actores y grupos de valor que fortalezca la comprensión del entorno institucional, territorial y sectorial.</w:t>
      </w:r>
    </w:p>
    <w:p w14:paraId="56B8F194" w14:textId="77777777" w:rsidR="00E51078" w:rsidRDefault="00E51078" w:rsidP="00721806">
      <w:pPr>
        <w:pStyle w:val="NormalWeb"/>
        <w:numPr>
          <w:ilvl w:val="0"/>
          <w:numId w:val="59"/>
        </w:numPr>
        <w:spacing w:before="0" w:beforeAutospacing="0" w:after="0" w:afterAutospacing="0"/>
        <w:ind w:left="0" w:firstLine="0"/>
        <w:jc w:val="both"/>
        <w:rPr>
          <w:rFonts w:asciiTheme="majorHAnsi" w:hAnsiTheme="majorHAnsi" w:cstheme="majorHAnsi"/>
          <w:sz w:val="22"/>
          <w:szCs w:val="22"/>
        </w:rPr>
      </w:pPr>
      <w:r w:rsidRPr="00E51078">
        <w:rPr>
          <w:rFonts w:asciiTheme="majorHAnsi" w:hAnsiTheme="majorHAnsi" w:cstheme="majorHAnsi"/>
          <w:sz w:val="22"/>
          <w:szCs w:val="22"/>
        </w:rPr>
        <w:t>Reducir riesgos de desarticulación mediante análisis prospectivos que permitan anticipar escenarios y fortalecer la toma de decisiones institucional.</w:t>
      </w:r>
    </w:p>
    <w:p w14:paraId="1018A996" w14:textId="77777777" w:rsidR="00E51078" w:rsidRPr="00E51078" w:rsidRDefault="00E51078" w:rsidP="00721806">
      <w:pPr>
        <w:pStyle w:val="NormalWeb"/>
        <w:numPr>
          <w:ilvl w:val="0"/>
          <w:numId w:val="59"/>
        </w:numPr>
        <w:spacing w:before="0" w:beforeAutospacing="0" w:after="0" w:afterAutospacing="0"/>
        <w:ind w:left="0" w:firstLine="0"/>
        <w:jc w:val="both"/>
        <w:rPr>
          <w:rFonts w:asciiTheme="majorHAnsi" w:hAnsiTheme="majorHAnsi" w:cstheme="majorHAnsi"/>
          <w:sz w:val="22"/>
          <w:szCs w:val="22"/>
        </w:rPr>
      </w:pPr>
    </w:p>
    <w:p w14:paraId="1D2EABC6"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La lógica del proyecto se fundamenta en la premisa de que la calidad del análisis institucional incide directamente en la gobernanza sectorial. En este marco, el Pivote Transversal aporta al fortalecimiento institucional desde una función integradora, orientada a reducir la fragmentación analítica y mejorar la coherencia en la implementación de la Transición Energética Justa.</w:t>
      </w:r>
    </w:p>
    <w:p w14:paraId="22807AF6" w14:textId="77777777" w:rsidR="00E51078" w:rsidRPr="00E51078" w:rsidRDefault="00E51078" w:rsidP="00E51078">
      <w:pPr>
        <w:pStyle w:val="Ttulo2"/>
      </w:pPr>
      <w:bookmarkStart w:id="264" w:name="_Toc235108055"/>
      <w:r w:rsidRPr="00E51078">
        <w:t>Alternativa seleccionada como intervención estructural</w:t>
      </w:r>
      <w:bookmarkEnd w:id="264"/>
    </w:p>
    <w:p w14:paraId="35F9F367"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Frente al problema identificado, podrían haberse considerado alternativas parciales, tales como aumentar el número de respuestas técnicas o fortalecer exclusivamente el componente jurídico del relacionamiento legislativo. Sin embargo, estas opciones no habrían abordado la raíz estructural de la brecha.</w:t>
      </w:r>
    </w:p>
    <w:p w14:paraId="50FB8D8F" w14:textId="77777777" w:rsidR="00E51078" w:rsidRPr="00E51078" w:rsidRDefault="00E51078" w:rsidP="00E51078">
      <w:pPr>
        <w:spacing w:after="0"/>
        <w:jc w:val="both"/>
        <w:rPr>
          <w:rFonts w:asciiTheme="majorHAnsi" w:hAnsiTheme="majorHAnsi" w:cstheme="majorHAnsi"/>
        </w:rPr>
      </w:pPr>
    </w:p>
    <w:p w14:paraId="5D728A4D"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La alternativa seleccionada, la creación y consolidación del Pivote Transversal como arquitectura metodológica de integración analítica responde a un enfoque sistémico. No se trata de incrementar volumen de producción documental, sino de mejorar su calidad estratégica y su capacidad de acumulación institucional.</w:t>
      </w:r>
    </w:p>
    <w:p w14:paraId="0E30A6A2" w14:textId="77777777" w:rsidR="00E51078" w:rsidRPr="00E51078" w:rsidRDefault="00E51078" w:rsidP="00E51078">
      <w:pPr>
        <w:spacing w:after="0"/>
        <w:jc w:val="both"/>
        <w:rPr>
          <w:rFonts w:asciiTheme="majorHAnsi" w:hAnsiTheme="majorHAnsi" w:cstheme="majorHAnsi"/>
        </w:rPr>
      </w:pPr>
    </w:p>
    <w:p w14:paraId="7B755596"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Esta alternativa se caracteriza por tres elementos diferenciadores:</w:t>
      </w:r>
    </w:p>
    <w:p w14:paraId="5F61594C" w14:textId="77777777" w:rsidR="00E51078" w:rsidRPr="00E51078" w:rsidRDefault="00E51078" w:rsidP="00721806">
      <w:pPr>
        <w:pStyle w:val="Prrafodelista"/>
        <w:numPr>
          <w:ilvl w:val="0"/>
          <w:numId w:val="57"/>
        </w:numPr>
        <w:suppressAutoHyphens/>
        <w:spacing w:after="0"/>
        <w:ind w:left="426" w:firstLine="0"/>
        <w:jc w:val="both"/>
        <w:rPr>
          <w:rFonts w:asciiTheme="majorHAnsi" w:hAnsiTheme="majorHAnsi" w:cstheme="majorHAnsi"/>
        </w:rPr>
      </w:pPr>
      <w:r w:rsidRPr="00E51078">
        <w:rPr>
          <w:rFonts w:asciiTheme="majorHAnsi" w:hAnsiTheme="majorHAnsi" w:cstheme="majorHAnsi"/>
        </w:rPr>
        <w:lastRenderedPageBreak/>
        <w:t>Primero, parte de un enfoque integrador, que respeta la autonomía técnica de los pivotes sectoriales mientras consolida información para fines estratégicos.</w:t>
      </w:r>
    </w:p>
    <w:p w14:paraId="34AB918D" w14:textId="77777777" w:rsidR="00E51078" w:rsidRPr="00E51078" w:rsidRDefault="00E51078" w:rsidP="00721806">
      <w:pPr>
        <w:pStyle w:val="Prrafodelista"/>
        <w:numPr>
          <w:ilvl w:val="0"/>
          <w:numId w:val="57"/>
        </w:numPr>
        <w:suppressAutoHyphens/>
        <w:spacing w:after="0"/>
        <w:ind w:left="426" w:firstLine="0"/>
        <w:jc w:val="both"/>
        <w:rPr>
          <w:rFonts w:asciiTheme="majorHAnsi" w:hAnsiTheme="majorHAnsi" w:cstheme="majorHAnsi"/>
        </w:rPr>
      </w:pPr>
      <w:r w:rsidRPr="00E51078">
        <w:rPr>
          <w:rFonts w:asciiTheme="majorHAnsi" w:hAnsiTheme="majorHAnsi" w:cstheme="majorHAnsi"/>
        </w:rPr>
        <w:t>La orientación hacia la gestión del conocimiento, entendiendo la información institucional y normativa como fuente de aprendizaje estratégico y no únicamente como escenario de respuesta coyuntural.</w:t>
      </w:r>
    </w:p>
    <w:p w14:paraId="34FB9901" w14:textId="77777777" w:rsidR="00E51078" w:rsidRPr="00E51078" w:rsidRDefault="00E51078" w:rsidP="00721806">
      <w:pPr>
        <w:pStyle w:val="Prrafodelista"/>
        <w:numPr>
          <w:ilvl w:val="0"/>
          <w:numId w:val="57"/>
        </w:numPr>
        <w:suppressAutoHyphens/>
        <w:spacing w:after="0"/>
        <w:ind w:left="426" w:firstLine="0"/>
        <w:jc w:val="both"/>
        <w:rPr>
          <w:rFonts w:asciiTheme="majorHAnsi" w:hAnsiTheme="majorHAnsi" w:cstheme="majorHAnsi"/>
        </w:rPr>
      </w:pPr>
      <w:r w:rsidRPr="00E51078">
        <w:rPr>
          <w:rFonts w:asciiTheme="majorHAnsi" w:hAnsiTheme="majorHAnsi" w:cstheme="majorHAnsi"/>
        </w:rPr>
        <w:t>Tercero, su alineación con el componente de fortalecimiento institucional previsto en el Plan Nacional de Desarrollo, particularmente en lo relacionado con modernización de capacidades públicas y mejora del desempeño institucional.</w:t>
      </w:r>
    </w:p>
    <w:p w14:paraId="3329797B"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En este sentido, la alternativa adoptada no solo responde al problema identificado, sino que se alinea con los lineamientos de política pública nacional en materia de fortalecimiento institucional.</w:t>
      </w:r>
    </w:p>
    <w:p w14:paraId="59262D69"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El análisis estructural del problema demuestra que la debilidad en el análisis estratégico sectorial y legislativo constituye una brecha institucional con efectos directos sobre la gobernanza del sector minero–energético. Esta brecha adquiere mayor relevancia en el contexto de la Transición Energética Justa, dado el carácter estructural y políticamente sensible del proceso.</w:t>
      </w:r>
    </w:p>
    <w:p w14:paraId="28A90B29" w14:textId="77777777" w:rsidR="00E51078" w:rsidRPr="00E51078" w:rsidRDefault="00E51078" w:rsidP="00E51078">
      <w:pPr>
        <w:spacing w:after="0"/>
        <w:jc w:val="both"/>
        <w:rPr>
          <w:rFonts w:asciiTheme="majorHAnsi" w:hAnsiTheme="majorHAnsi" w:cstheme="majorHAnsi"/>
        </w:rPr>
      </w:pPr>
    </w:p>
    <w:p w14:paraId="781DDA97"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En este escenario el Pivote Transversal se configura como la respuesta institucional a esta problemática, no desde una lógica sectorial, sino desde una arquitectura metodológica orientada a fortalecer capacidades permanentes del Ministerio.</w:t>
      </w:r>
    </w:p>
    <w:p w14:paraId="2C57C3A0" w14:textId="77777777" w:rsidR="00E51078" w:rsidRPr="00E51078" w:rsidRDefault="00E51078" w:rsidP="00E51078">
      <w:pPr>
        <w:spacing w:after="0"/>
        <w:jc w:val="both"/>
        <w:rPr>
          <w:rFonts w:asciiTheme="majorHAnsi" w:hAnsiTheme="majorHAnsi" w:cstheme="majorHAnsi"/>
        </w:rPr>
      </w:pPr>
    </w:p>
    <w:p w14:paraId="3DF892D6"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Con esta base conceptual y diagnóstica, el siguiente paso consiste en desarrollar el marco conceptual profundo que sustenta el modelo metodológico del Pivote Transversal.</w:t>
      </w:r>
    </w:p>
    <w:p w14:paraId="0426010D" w14:textId="77777777" w:rsidR="00E51078" w:rsidRPr="00E51078" w:rsidRDefault="00E51078" w:rsidP="00A86834">
      <w:pPr>
        <w:pStyle w:val="Ttulo1"/>
      </w:pPr>
      <w:bookmarkStart w:id="265" w:name="_Toc235108056"/>
      <w:r w:rsidRPr="00E51078">
        <w:t>Hipótesis</w:t>
      </w:r>
      <w:bookmarkEnd w:id="265"/>
      <w:r w:rsidRPr="00E51078">
        <w:t xml:space="preserve"> </w:t>
      </w:r>
    </w:p>
    <w:p w14:paraId="4102F304"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La consolidación y fortalecimiento del Pivote Transversal como arquitectura metodológica integrada permitirá superar la fragmentación analítica existente, mejorar la coherencia normativa y fortalecer la gobernanza sectorial en la implementación de la Transición Energética Justa.</w:t>
      </w:r>
    </w:p>
    <w:p w14:paraId="2931A923" w14:textId="77777777" w:rsidR="00E51078" w:rsidRPr="00E51078" w:rsidRDefault="00E51078" w:rsidP="00A86834">
      <w:pPr>
        <w:pStyle w:val="Ttulo1"/>
      </w:pPr>
      <w:bookmarkStart w:id="266" w:name="_Toc235108057"/>
      <w:r w:rsidRPr="00E51078">
        <w:lastRenderedPageBreak/>
        <w:t>Objetivos</w:t>
      </w:r>
      <w:bookmarkEnd w:id="266"/>
    </w:p>
    <w:p w14:paraId="71325E88" w14:textId="77777777" w:rsidR="00E51078" w:rsidRPr="00E51078" w:rsidRDefault="00E51078" w:rsidP="00E51078">
      <w:pPr>
        <w:pStyle w:val="Ttulo2"/>
      </w:pPr>
      <w:bookmarkStart w:id="267" w:name="_Toc235108058"/>
      <w:r w:rsidRPr="00E51078">
        <w:t>Objetivo general:</w:t>
      </w:r>
      <w:bookmarkEnd w:id="267"/>
      <w:r w:rsidRPr="00E51078">
        <w:t xml:space="preserve"> </w:t>
      </w:r>
    </w:p>
    <w:p w14:paraId="346177CD"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Fortalecer y consolidar el Pivote Transversal como arquitectura metodológica de integración analítica del Ministerio de Minas y Energía, con el fin de superar la fragmentación analítica sectorial e institucional, garantizando coherencia normativa y sostenibilidad institucional en la implementación de la Transición Energética Justa.</w:t>
      </w:r>
    </w:p>
    <w:p w14:paraId="1A3DB8A2" w14:textId="77777777" w:rsidR="00E51078" w:rsidRPr="00E51078" w:rsidRDefault="00E51078" w:rsidP="00E51078">
      <w:pPr>
        <w:pStyle w:val="Ttulo2"/>
      </w:pPr>
      <w:bookmarkStart w:id="268" w:name="_Toc235108059"/>
      <w:r w:rsidRPr="00E51078">
        <w:t>Objetivos específicos:</w:t>
      </w:r>
      <w:bookmarkEnd w:id="268"/>
    </w:p>
    <w:p w14:paraId="4CE0EB6E" w14:textId="77777777" w:rsidR="00E51078" w:rsidRPr="00E51078" w:rsidRDefault="00E51078" w:rsidP="00721806">
      <w:pPr>
        <w:pStyle w:val="Prrafodelista"/>
        <w:numPr>
          <w:ilvl w:val="2"/>
          <w:numId w:val="61"/>
        </w:numPr>
        <w:suppressAutoHyphens/>
        <w:spacing w:after="0"/>
        <w:ind w:left="0" w:firstLine="0"/>
        <w:jc w:val="both"/>
        <w:rPr>
          <w:rFonts w:asciiTheme="majorHAnsi" w:hAnsiTheme="majorHAnsi" w:cstheme="majorHAnsi"/>
          <w:b/>
          <w:bCs/>
        </w:rPr>
      </w:pPr>
      <w:r w:rsidRPr="00E51078">
        <w:rPr>
          <w:rFonts w:asciiTheme="majorHAnsi" w:hAnsiTheme="majorHAnsi" w:cstheme="majorHAnsi"/>
          <w:b/>
          <w:bCs/>
        </w:rPr>
        <w:t>Integración documental estratégica</w:t>
      </w:r>
    </w:p>
    <w:p w14:paraId="6BB4A6DC"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Estructurar un sistema de integración documental estratégica que consolide los instrumentos sectoriales y permita identificar coherencias, interdependencias y posibles tensiones normativas entre los pivotes de energía, minería e hidrocarburos.</w:t>
      </w:r>
    </w:p>
    <w:p w14:paraId="0C724634" w14:textId="77777777" w:rsidR="00E51078" w:rsidRPr="00E51078" w:rsidRDefault="00E51078" w:rsidP="00E51078">
      <w:pPr>
        <w:spacing w:after="0"/>
        <w:jc w:val="both"/>
        <w:rPr>
          <w:rFonts w:asciiTheme="majorHAnsi" w:hAnsiTheme="majorHAnsi" w:cstheme="majorHAnsi"/>
        </w:rPr>
      </w:pPr>
    </w:p>
    <w:p w14:paraId="16FBEB2C" w14:textId="77777777" w:rsidR="00E51078" w:rsidRPr="00E51078" w:rsidRDefault="00E51078" w:rsidP="00721806">
      <w:pPr>
        <w:pStyle w:val="Prrafodelista"/>
        <w:numPr>
          <w:ilvl w:val="2"/>
          <w:numId w:val="61"/>
        </w:numPr>
        <w:suppressAutoHyphens/>
        <w:spacing w:after="0"/>
        <w:ind w:left="0" w:firstLine="0"/>
        <w:jc w:val="both"/>
        <w:rPr>
          <w:rFonts w:asciiTheme="majorHAnsi" w:hAnsiTheme="majorHAnsi" w:cstheme="majorHAnsi"/>
          <w:b/>
          <w:bCs/>
        </w:rPr>
      </w:pPr>
      <w:r w:rsidRPr="00E51078">
        <w:rPr>
          <w:rFonts w:asciiTheme="majorHAnsi" w:hAnsiTheme="majorHAnsi" w:cstheme="majorHAnsi"/>
          <w:b/>
          <w:bCs/>
        </w:rPr>
        <w:t>Caracterización estratégica de actores</w:t>
      </w:r>
    </w:p>
    <w:p w14:paraId="5979A5E3"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Desarrollar una herramienta permanente de caracterización estratégica de actores y grupos de valor que permita comprender sus niveles de incidencia sectorial, territorial e institucional, fortaleciendo la capacidad del Ministerio para anticipar dinámicas de interacción y escenarios de implementación de la Transición Energética Justa.</w:t>
      </w:r>
    </w:p>
    <w:p w14:paraId="2ADDEA6E" w14:textId="77777777" w:rsidR="00E51078" w:rsidRPr="00E51078" w:rsidRDefault="00E51078" w:rsidP="00E51078">
      <w:pPr>
        <w:spacing w:after="0"/>
        <w:jc w:val="both"/>
        <w:rPr>
          <w:rFonts w:asciiTheme="majorHAnsi" w:hAnsiTheme="majorHAnsi" w:cstheme="majorHAnsi"/>
        </w:rPr>
      </w:pPr>
    </w:p>
    <w:p w14:paraId="1E774632" w14:textId="77777777" w:rsidR="00E51078" w:rsidRPr="00E51078" w:rsidRDefault="00E51078" w:rsidP="00721806">
      <w:pPr>
        <w:pStyle w:val="Prrafodelista"/>
        <w:numPr>
          <w:ilvl w:val="2"/>
          <w:numId w:val="61"/>
        </w:numPr>
        <w:suppressAutoHyphens/>
        <w:spacing w:after="0"/>
        <w:ind w:left="0" w:firstLine="0"/>
        <w:jc w:val="both"/>
        <w:rPr>
          <w:rFonts w:asciiTheme="majorHAnsi" w:hAnsiTheme="majorHAnsi" w:cstheme="majorHAnsi"/>
          <w:b/>
          <w:bCs/>
        </w:rPr>
      </w:pPr>
      <w:r w:rsidRPr="00E51078">
        <w:rPr>
          <w:rFonts w:asciiTheme="majorHAnsi" w:hAnsiTheme="majorHAnsi" w:cstheme="majorHAnsi"/>
          <w:b/>
          <w:bCs/>
        </w:rPr>
        <w:t>Producción de insumos estratégicos institucionales</w:t>
      </w:r>
    </w:p>
    <w:p w14:paraId="60CCA389"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Generar insumos analíticos integrados que permitan consolidar una lectura estratégica del sector minero–energético, facilitando la toma de decisiones institucional a partir de la integración de información sectorial, territorial y normativa.</w:t>
      </w:r>
    </w:p>
    <w:p w14:paraId="25AAA187" w14:textId="77777777" w:rsidR="00E51078" w:rsidRPr="00E51078" w:rsidRDefault="00E51078" w:rsidP="00E51078">
      <w:pPr>
        <w:spacing w:after="0"/>
        <w:jc w:val="both"/>
        <w:rPr>
          <w:rFonts w:asciiTheme="majorHAnsi" w:hAnsiTheme="majorHAnsi" w:cstheme="majorHAnsi"/>
        </w:rPr>
      </w:pPr>
    </w:p>
    <w:p w14:paraId="1E037AF5" w14:textId="77777777" w:rsidR="00E51078" w:rsidRPr="00E51078" w:rsidRDefault="00E51078" w:rsidP="00721806">
      <w:pPr>
        <w:pStyle w:val="Prrafodelista"/>
        <w:numPr>
          <w:ilvl w:val="2"/>
          <w:numId w:val="61"/>
        </w:numPr>
        <w:suppressAutoHyphens/>
        <w:spacing w:after="0"/>
        <w:ind w:left="0" w:firstLine="0"/>
        <w:jc w:val="both"/>
        <w:rPr>
          <w:rFonts w:asciiTheme="majorHAnsi" w:hAnsiTheme="majorHAnsi" w:cstheme="majorHAnsi"/>
          <w:b/>
          <w:bCs/>
        </w:rPr>
      </w:pPr>
      <w:r w:rsidRPr="00E51078">
        <w:rPr>
          <w:rFonts w:asciiTheme="majorHAnsi" w:hAnsiTheme="majorHAnsi" w:cstheme="majorHAnsi"/>
          <w:b/>
          <w:bCs/>
        </w:rPr>
        <w:t>Institucionalización de la gestión del conocimiento</w:t>
      </w:r>
    </w:p>
    <w:p w14:paraId="0690C45A"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Consolidar un sistema de gestión del conocimiento que garantice acumulación analítica, memoria institucional y sostenibilidad del fortalecimiento propuesto en el tiempo.</w:t>
      </w:r>
    </w:p>
    <w:p w14:paraId="7AC95EC6" w14:textId="77777777" w:rsidR="00E51078" w:rsidRPr="00E51078" w:rsidRDefault="00E51078" w:rsidP="00A86834">
      <w:pPr>
        <w:pStyle w:val="Ttulo1"/>
      </w:pPr>
      <w:bookmarkStart w:id="269" w:name="_Toc235108060"/>
      <w:r w:rsidRPr="00E51078">
        <w:lastRenderedPageBreak/>
        <w:t>Metodología</w:t>
      </w:r>
      <w:bookmarkEnd w:id="269"/>
    </w:p>
    <w:p w14:paraId="1A45C6F8" w14:textId="77777777" w:rsidR="00E51078" w:rsidRPr="00E51078" w:rsidRDefault="00E51078" w:rsidP="00E51078">
      <w:pPr>
        <w:pStyle w:val="Ttulo2"/>
      </w:pPr>
      <w:bookmarkStart w:id="270" w:name="_Toc235108061"/>
      <w:r w:rsidRPr="00E51078">
        <w:t>Naturaleza institucional del Pivote Transversal</w:t>
      </w:r>
      <w:bookmarkEnd w:id="270"/>
    </w:p>
    <w:p w14:paraId="01EEE772"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El Pivote Transversal no constituye un cuarto sector dentro del Ministerio ni una instancia paralela de formulación técnica. Su naturaleza es metodológica e integradora. En la práctica, funciona como una arquitectura institucional orientada a fortalecer la capacidad analítica del Ministerio frente a la complejidad intersectorial, institucional y normativa que implica la Transición Energética Justa.</w:t>
      </w:r>
    </w:p>
    <w:p w14:paraId="4531C19A" w14:textId="77777777" w:rsidR="00E51078" w:rsidRPr="00E51078" w:rsidRDefault="00E51078" w:rsidP="00E51078">
      <w:pPr>
        <w:spacing w:after="0"/>
        <w:jc w:val="both"/>
        <w:rPr>
          <w:rFonts w:asciiTheme="majorHAnsi" w:hAnsiTheme="majorHAnsi" w:cstheme="majorHAnsi"/>
        </w:rPr>
      </w:pPr>
    </w:p>
    <w:p w14:paraId="20DD0BD7"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Su función se ubica en el ámbito del fortalecimiento institucional y no en el rediseño de la política sectorial. Esto implica que no produce lineamientos técnicos sobre generación eléctrica, explotación minera o exploración de hidrocarburos. Más bien, consolida información estratégica proveniente de esos ámbitos para facilitar su lectura conjunta y apoyar la toma de decisiones institucional.</w:t>
      </w:r>
    </w:p>
    <w:p w14:paraId="5B1BE7E2" w14:textId="77777777" w:rsidR="00E51078" w:rsidRPr="00E51078" w:rsidRDefault="00E51078" w:rsidP="00E51078">
      <w:pPr>
        <w:spacing w:after="0"/>
        <w:jc w:val="both"/>
        <w:rPr>
          <w:rFonts w:asciiTheme="majorHAnsi" w:hAnsiTheme="majorHAnsi" w:cstheme="majorHAnsi"/>
        </w:rPr>
      </w:pPr>
    </w:p>
    <w:p w14:paraId="589BAC75"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En este sentido, el valor del pivote no está en generar nuevos desarrollos técnicos, sino en integrar y organizar información ya existente, de manera que permita identificar relaciones, anticipar posibles tensiones y fortalecer la coherencia del accionar sectorial.</w:t>
      </w:r>
    </w:p>
    <w:p w14:paraId="6733D8CC" w14:textId="77777777" w:rsidR="00E51078" w:rsidRPr="00E51078" w:rsidRDefault="00E51078" w:rsidP="00E51078">
      <w:pPr>
        <w:spacing w:after="0"/>
        <w:jc w:val="both"/>
        <w:rPr>
          <w:rFonts w:asciiTheme="majorHAnsi" w:hAnsiTheme="majorHAnsi" w:cstheme="majorHAnsi"/>
        </w:rPr>
      </w:pPr>
    </w:p>
    <w:p w14:paraId="4B10F136"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Así, el Pivote Transversal puede entenderse como una capa de integración analítica que opera sobre desarrollos técnicos ya consolidados, respetando su autonomía metodológica y aportando una lectura estratégica del sector en su conjunto.</w:t>
      </w:r>
    </w:p>
    <w:p w14:paraId="64027C0E" w14:textId="77777777" w:rsidR="00E51078" w:rsidRPr="00E51078" w:rsidRDefault="00E51078" w:rsidP="00E51078">
      <w:pPr>
        <w:pStyle w:val="Ttulo2"/>
      </w:pPr>
      <w:bookmarkStart w:id="271" w:name="_Toc235108062"/>
      <w:r w:rsidRPr="00E51078">
        <w:t>Principios de articulación intersectorial</w:t>
      </w:r>
      <w:bookmarkEnd w:id="271"/>
    </w:p>
    <w:p w14:paraId="4E5E2450"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La arquitectura del Pivote Transversal se rige por tres principios fundamentales que garantizan su carácter complementario y no invasivo.</w:t>
      </w:r>
    </w:p>
    <w:p w14:paraId="0CA3FB3D" w14:textId="77777777" w:rsidR="00E51078" w:rsidRPr="00E51078" w:rsidRDefault="00E51078" w:rsidP="00E51078">
      <w:pPr>
        <w:spacing w:after="0"/>
        <w:jc w:val="both"/>
        <w:rPr>
          <w:rFonts w:asciiTheme="majorHAnsi" w:hAnsiTheme="majorHAnsi" w:cstheme="majorHAnsi"/>
        </w:rPr>
      </w:pPr>
    </w:p>
    <w:p w14:paraId="09EA1567"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El primer principio es el respeto metodológico. Cada uno de los pivotes sectoriales (energía, minería e hidrocarburos) cuenta con equipos especializados y metodologías técnicas. El Pivote Transversal no modifica dichos enfoques ni interviene en su desarrollo operativo.</w:t>
      </w:r>
    </w:p>
    <w:p w14:paraId="7443B368" w14:textId="77777777" w:rsidR="00E51078" w:rsidRPr="00E51078" w:rsidRDefault="00E51078" w:rsidP="00E51078">
      <w:pPr>
        <w:spacing w:after="0"/>
        <w:jc w:val="both"/>
        <w:rPr>
          <w:rFonts w:asciiTheme="majorHAnsi" w:hAnsiTheme="majorHAnsi" w:cstheme="majorHAnsi"/>
        </w:rPr>
      </w:pPr>
    </w:p>
    <w:p w14:paraId="64469650"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lastRenderedPageBreak/>
        <w:t>El segundo principio es la complementariedad analítica. La función transversal consiste en integrar información ya producida, identificar coherencias y tensiones estratégicas, y traducir desarrollos técnicos en insumos de carácter estratégico e institucional.</w:t>
      </w:r>
    </w:p>
    <w:p w14:paraId="03016CE2" w14:textId="77777777" w:rsidR="00E51078" w:rsidRPr="00E51078" w:rsidRDefault="00E51078" w:rsidP="00E51078">
      <w:pPr>
        <w:spacing w:after="0"/>
        <w:jc w:val="both"/>
        <w:rPr>
          <w:rFonts w:asciiTheme="majorHAnsi" w:hAnsiTheme="majorHAnsi" w:cstheme="majorHAnsi"/>
        </w:rPr>
      </w:pPr>
    </w:p>
    <w:p w14:paraId="68BACA34"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El tercer principio es la no interferencia técnica. El Pivote Transversal no evalúa la calidad técnica de las políticas sectoriales, sino su articulación estratégica y su proyección normativa.</w:t>
      </w:r>
    </w:p>
    <w:p w14:paraId="60EC1E42"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Estos principios permiten delimitar claramente el alcance institucional del pivote y evitar superposiciones o conflictos de competencia.</w:t>
      </w:r>
    </w:p>
    <w:p w14:paraId="5D51B400" w14:textId="77777777" w:rsidR="00E51078" w:rsidRPr="00E51078" w:rsidRDefault="00E51078" w:rsidP="00E51078">
      <w:pPr>
        <w:spacing w:after="0"/>
        <w:jc w:val="both"/>
        <w:rPr>
          <w:rFonts w:asciiTheme="majorHAnsi" w:hAnsiTheme="majorHAnsi" w:cstheme="majorHAnsi"/>
        </w:rPr>
      </w:pPr>
    </w:p>
    <w:p w14:paraId="22733EAA" w14:textId="77777777" w:rsidR="00E51078" w:rsidRPr="00E51078" w:rsidRDefault="00E51078" w:rsidP="00E51078">
      <w:pPr>
        <w:pStyle w:val="Ttulo2"/>
      </w:pPr>
      <w:bookmarkStart w:id="272" w:name="_Toc235108063"/>
      <w:r w:rsidRPr="00E51078">
        <w:t>Componentes estructurales del modelo operativo</w:t>
      </w:r>
      <w:bookmarkEnd w:id="272"/>
    </w:p>
    <w:p w14:paraId="3A37D15B"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La arquitectura operativa del Pivote Transversal se estructura en componentes interrelacionados que permiten organizar la integración de información sectorial, la lectura estratégica del entorno y la producción de insumos institucionales en el marco de la Transición Energética Justa.</w:t>
      </w:r>
    </w:p>
    <w:p w14:paraId="0A67627C" w14:textId="77777777" w:rsidR="00326250" w:rsidRPr="00E51078" w:rsidRDefault="00326250" w:rsidP="00E51078">
      <w:pPr>
        <w:spacing w:after="0"/>
        <w:jc w:val="both"/>
        <w:rPr>
          <w:rFonts w:asciiTheme="majorHAnsi" w:hAnsiTheme="majorHAnsi" w:cstheme="majorHAnsi"/>
        </w:rPr>
      </w:pPr>
    </w:p>
    <w:p w14:paraId="3B39DB08"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 xml:space="preserve">Tabla 1. </w:t>
      </w:r>
      <w:r w:rsidRPr="00E51078">
        <w:rPr>
          <w:rFonts w:asciiTheme="majorHAnsi" w:hAnsiTheme="majorHAnsi" w:cstheme="majorHAnsi"/>
          <w:i/>
          <w:iCs/>
        </w:rPr>
        <w:t>Componentes modelo operativo</w:t>
      </w:r>
    </w:p>
    <w:tbl>
      <w:tblPr>
        <w:tblStyle w:val="Tablaconcuadrcula"/>
        <w:tblW w:w="0" w:type="auto"/>
        <w:tblLook w:val="04A0" w:firstRow="1" w:lastRow="0" w:firstColumn="1" w:lastColumn="0" w:noHBand="0" w:noVBand="1"/>
      </w:tblPr>
      <w:tblGrid>
        <w:gridCol w:w="2547"/>
        <w:gridCol w:w="3527"/>
        <w:gridCol w:w="3037"/>
      </w:tblGrid>
      <w:tr w:rsidR="00E51078" w:rsidRPr="00E51078" w14:paraId="51A60732" w14:textId="77777777" w:rsidTr="003C2C7C">
        <w:tc>
          <w:tcPr>
            <w:tcW w:w="2547" w:type="dxa"/>
            <w:vAlign w:val="center"/>
          </w:tcPr>
          <w:p w14:paraId="35948D49"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b/>
                <w:bCs/>
              </w:rPr>
              <w:t>Componente</w:t>
            </w:r>
          </w:p>
        </w:tc>
        <w:tc>
          <w:tcPr>
            <w:tcW w:w="3527" w:type="dxa"/>
            <w:vAlign w:val="center"/>
          </w:tcPr>
          <w:p w14:paraId="1EFCF905"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b/>
                <w:bCs/>
              </w:rPr>
              <w:t>Descripción</w:t>
            </w:r>
          </w:p>
        </w:tc>
        <w:tc>
          <w:tcPr>
            <w:tcW w:w="3037" w:type="dxa"/>
            <w:vAlign w:val="center"/>
          </w:tcPr>
          <w:p w14:paraId="69EA03F0"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b/>
                <w:bCs/>
              </w:rPr>
              <w:t>Fuente principal</w:t>
            </w:r>
          </w:p>
        </w:tc>
      </w:tr>
      <w:tr w:rsidR="00E51078" w:rsidRPr="00E51078" w14:paraId="7ADF86E9" w14:textId="77777777" w:rsidTr="003C2C7C">
        <w:tc>
          <w:tcPr>
            <w:tcW w:w="2547" w:type="dxa"/>
            <w:vAlign w:val="center"/>
          </w:tcPr>
          <w:p w14:paraId="696EF06A"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Integración documental estratégica</w:t>
            </w:r>
          </w:p>
        </w:tc>
        <w:tc>
          <w:tcPr>
            <w:tcW w:w="3527" w:type="dxa"/>
            <w:vAlign w:val="center"/>
          </w:tcPr>
          <w:p w14:paraId="6009F7E2"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Consolidación y articulación de instrumentos de política pública sectorial</w:t>
            </w:r>
          </w:p>
        </w:tc>
        <w:tc>
          <w:tcPr>
            <w:tcW w:w="3037" w:type="dxa"/>
            <w:vAlign w:val="center"/>
          </w:tcPr>
          <w:p w14:paraId="79779016"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PND, CONPES, planes sectoriales, documentos de pivotes</w:t>
            </w:r>
          </w:p>
        </w:tc>
      </w:tr>
      <w:tr w:rsidR="00E51078" w:rsidRPr="00E51078" w14:paraId="4F219EB0" w14:textId="77777777" w:rsidTr="003C2C7C">
        <w:tc>
          <w:tcPr>
            <w:tcW w:w="2547" w:type="dxa"/>
            <w:vAlign w:val="center"/>
          </w:tcPr>
          <w:p w14:paraId="6C47A0A3"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Caracterización estratégica de actores</w:t>
            </w:r>
          </w:p>
        </w:tc>
        <w:tc>
          <w:tcPr>
            <w:tcW w:w="3527" w:type="dxa"/>
            <w:vAlign w:val="center"/>
          </w:tcPr>
          <w:p w14:paraId="12EA8122"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Análisis de incidencia, relaciones y posicionamiento de actores</w:t>
            </w:r>
          </w:p>
        </w:tc>
        <w:tc>
          <w:tcPr>
            <w:tcW w:w="3037" w:type="dxa"/>
            <w:vAlign w:val="center"/>
          </w:tcPr>
          <w:p w14:paraId="4968A8D4"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Documentos sectoriales, insumos de actores</w:t>
            </w:r>
          </w:p>
        </w:tc>
      </w:tr>
      <w:tr w:rsidR="00E51078" w:rsidRPr="00E51078" w14:paraId="4353F145" w14:textId="77777777" w:rsidTr="003C2C7C">
        <w:tc>
          <w:tcPr>
            <w:tcW w:w="2547" w:type="dxa"/>
            <w:vAlign w:val="center"/>
          </w:tcPr>
          <w:p w14:paraId="57D19F53"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Problemáticas transversales TEJ</w:t>
            </w:r>
          </w:p>
        </w:tc>
        <w:tc>
          <w:tcPr>
            <w:tcW w:w="3527" w:type="dxa"/>
            <w:vAlign w:val="center"/>
          </w:tcPr>
          <w:p w14:paraId="1FDA27BE"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Identificación de temas comunes que atraviesan los pivotes sectoriales</w:t>
            </w:r>
          </w:p>
        </w:tc>
        <w:tc>
          <w:tcPr>
            <w:tcW w:w="3037" w:type="dxa"/>
            <w:vAlign w:val="center"/>
          </w:tcPr>
          <w:p w14:paraId="0F336FC7"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Energía, minería, hidrocarburos</w:t>
            </w:r>
          </w:p>
        </w:tc>
      </w:tr>
    </w:tbl>
    <w:p w14:paraId="065BC4F4"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Fuente: Elaboración propia</w:t>
      </w:r>
    </w:p>
    <w:p w14:paraId="099F72CD" w14:textId="77777777" w:rsidR="00326250" w:rsidRPr="00E51078" w:rsidRDefault="00326250" w:rsidP="00E51078">
      <w:pPr>
        <w:spacing w:after="0"/>
        <w:jc w:val="both"/>
        <w:rPr>
          <w:rFonts w:asciiTheme="majorHAnsi" w:hAnsiTheme="majorHAnsi" w:cstheme="majorHAnsi"/>
        </w:rPr>
      </w:pPr>
    </w:p>
    <w:p w14:paraId="4503D1C1"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 xml:space="preserve">El primer componente corresponde a la integración documental estratégica, orientada a consolidar los principales instrumentos de política pública sectorial en una matriz de coherencia que permita identificar relaciones, alineaciones y posibles tensiones entre ellos. Este ejercicio no se limita a la revisión normativa, </w:t>
      </w:r>
      <w:r w:rsidRPr="00E51078">
        <w:rPr>
          <w:rFonts w:asciiTheme="majorHAnsi" w:hAnsiTheme="majorHAnsi" w:cstheme="majorHAnsi"/>
        </w:rPr>
        <w:lastRenderedPageBreak/>
        <w:t>sino que incorpora hallazgos provenientes de los pivotes sectoriales, permitiendo estructurar una lectura comparada del sector.</w:t>
      </w:r>
    </w:p>
    <w:p w14:paraId="3E92A431" w14:textId="77777777" w:rsidR="00326250" w:rsidRPr="00E51078" w:rsidRDefault="00326250" w:rsidP="00E51078">
      <w:pPr>
        <w:spacing w:after="0"/>
        <w:jc w:val="both"/>
        <w:rPr>
          <w:rFonts w:asciiTheme="majorHAnsi" w:hAnsiTheme="majorHAnsi" w:cstheme="majorHAnsi"/>
        </w:rPr>
      </w:pPr>
    </w:p>
    <w:p w14:paraId="1AB1C5CB"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Para su desarrollo, se propone organizar la información en tres capas de análisis: una capa normativa, enfocada en leyes, decretos y documentos de política; una capa institucional, orientada a identificar competencias, entidades responsables y mecanismos de coordinación; y una capa territorial y social, que permita registrar actores, tensiones, impactos diferenciados y condiciones de implementación.</w:t>
      </w:r>
    </w:p>
    <w:p w14:paraId="30FDB5FE" w14:textId="77777777" w:rsidR="00326250" w:rsidRPr="00E51078" w:rsidRDefault="00326250" w:rsidP="00E51078">
      <w:pPr>
        <w:spacing w:after="0"/>
        <w:jc w:val="both"/>
        <w:rPr>
          <w:rFonts w:asciiTheme="majorHAnsi" w:hAnsiTheme="majorHAnsi" w:cstheme="majorHAnsi"/>
        </w:rPr>
      </w:pPr>
    </w:p>
    <w:p w14:paraId="103BA26D"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El segundo componente corresponde a la caracterización estratégica de actores y grupos de valor, la cual permite analizar su incidencia sectorial, territorial e institucional. Este ejercicio no se limita a la identificación de actores, sino que busca comprender sus dinámicas de interacción, niveles de influencia y posicionamientos frente a la Transición Energética Justa, facilitando la anticipación de escenarios de debate y la construcción de estrategias de relacionamiento institucional.</w:t>
      </w:r>
    </w:p>
    <w:p w14:paraId="5AD2D835" w14:textId="77777777" w:rsidR="00326250" w:rsidRPr="00E51078" w:rsidRDefault="00326250" w:rsidP="00E51078">
      <w:pPr>
        <w:spacing w:after="0"/>
        <w:jc w:val="both"/>
        <w:rPr>
          <w:rFonts w:asciiTheme="majorHAnsi" w:hAnsiTheme="majorHAnsi" w:cstheme="majorHAnsi"/>
        </w:rPr>
      </w:pPr>
    </w:p>
    <w:p w14:paraId="65BD5453"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De manera complementaria, el modelo incorpora un componente de lectura transversal de problemáticas asociadas a la Transición Energética Justa. Este componente permite identificar asuntos que aparecen de manera recurrente en los documentos sectoriales y que requieren seguimiento integrado, tales como la participación, la consulta previa, la gestión de conflictos socioambientales, los derechos humanos, la paz territorial, el enfoque diferencial, la sostenibilidad fiscal y la articulación entre Nación y territorio.</w:t>
      </w:r>
    </w:p>
    <w:p w14:paraId="2B58E3A6" w14:textId="77777777" w:rsidR="00326250" w:rsidRPr="00E51078" w:rsidRDefault="00326250" w:rsidP="00E51078">
      <w:pPr>
        <w:spacing w:after="0"/>
        <w:jc w:val="both"/>
        <w:rPr>
          <w:rFonts w:asciiTheme="majorHAnsi" w:hAnsiTheme="majorHAnsi" w:cstheme="majorHAnsi"/>
        </w:rPr>
      </w:pPr>
    </w:p>
    <w:p w14:paraId="0C221593"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En conjunto, estos componentes configuran una estructura operativa que permite transformar información sectorial dispersa en insumos analíticos integrados, fortaleciendo la capacidad institucional del Ministerio para gestionar la complejidad de la Transición Energética Justa desde una perspectiva articulada.</w:t>
      </w:r>
    </w:p>
    <w:p w14:paraId="12A259B5" w14:textId="77777777" w:rsidR="00E51078" w:rsidRPr="00E51078" w:rsidRDefault="00E51078" w:rsidP="00326250">
      <w:pPr>
        <w:pStyle w:val="Ttulo2"/>
      </w:pPr>
      <w:bookmarkStart w:id="273" w:name="_Toc235108064"/>
      <w:r w:rsidRPr="00E51078">
        <w:t>Flujo operativo del Pivote Transversal</w:t>
      </w:r>
      <w:bookmarkEnd w:id="273"/>
    </w:p>
    <w:p w14:paraId="79583C28"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Operativamente, el modelo puede describirse como un flujo continuo de cuatro fases interdependientes, orientadas a organizar el proceso de integración, análisis y producción de insumos estratégicos a partir de la información sectorial e institucional disponible.</w:t>
      </w:r>
    </w:p>
    <w:p w14:paraId="4908CEB4" w14:textId="77777777" w:rsidR="00326250" w:rsidRPr="00E51078" w:rsidRDefault="00326250" w:rsidP="00E51078">
      <w:pPr>
        <w:spacing w:after="0"/>
        <w:jc w:val="both"/>
        <w:rPr>
          <w:rFonts w:asciiTheme="majorHAnsi" w:hAnsiTheme="majorHAnsi" w:cstheme="majorHAnsi"/>
        </w:rPr>
      </w:pPr>
    </w:p>
    <w:p w14:paraId="71EEB91D"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 xml:space="preserve">Tabla 2. </w:t>
      </w:r>
      <w:r w:rsidRPr="00E51078">
        <w:rPr>
          <w:rFonts w:asciiTheme="majorHAnsi" w:hAnsiTheme="majorHAnsi" w:cstheme="majorHAnsi"/>
          <w:i/>
          <w:iCs/>
        </w:rPr>
        <w:t>Fases flujo operativo</w:t>
      </w:r>
    </w:p>
    <w:tbl>
      <w:tblPr>
        <w:tblStyle w:val="Tablaconcuadrcula"/>
        <w:tblW w:w="0" w:type="auto"/>
        <w:tblLook w:val="04A0" w:firstRow="1" w:lastRow="0" w:firstColumn="1" w:lastColumn="0" w:noHBand="0" w:noVBand="1"/>
      </w:tblPr>
      <w:tblGrid>
        <w:gridCol w:w="1838"/>
        <w:gridCol w:w="4236"/>
        <w:gridCol w:w="3037"/>
      </w:tblGrid>
      <w:tr w:rsidR="00E51078" w:rsidRPr="00E51078" w14:paraId="50E542BF" w14:textId="77777777" w:rsidTr="003C2C7C">
        <w:tc>
          <w:tcPr>
            <w:tcW w:w="1838" w:type="dxa"/>
            <w:vAlign w:val="center"/>
          </w:tcPr>
          <w:p w14:paraId="6E4072B0"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b/>
                <w:bCs/>
              </w:rPr>
              <w:t>Fase</w:t>
            </w:r>
          </w:p>
        </w:tc>
        <w:tc>
          <w:tcPr>
            <w:tcW w:w="4236" w:type="dxa"/>
            <w:vAlign w:val="center"/>
          </w:tcPr>
          <w:p w14:paraId="397CAC2B"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b/>
                <w:bCs/>
              </w:rPr>
              <w:t>Descripción</w:t>
            </w:r>
          </w:p>
        </w:tc>
        <w:tc>
          <w:tcPr>
            <w:tcW w:w="3037" w:type="dxa"/>
            <w:vAlign w:val="center"/>
          </w:tcPr>
          <w:p w14:paraId="7EE5CC8D"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b/>
                <w:bCs/>
              </w:rPr>
              <w:t>Producto esperado</w:t>
            </w:r>
          </w:p>
        </w:tc>
      </w:tr>
      <w:tr w:rsidR="00E51078" w:rsidRPr="00E51078" w14:paraId="6086AB4A" w14:textId="77777777" w:rsidTr="003C2C7C">
        <w:tc>
          <w:tcPr>
            <w:tcW w:w="1838" w:type="dxa"/>
            <w:vAlign w:val="center"/>
          </w:tcPr>
          <w:p w14:paraId="063E673E"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Captura</w:t>
            </w:r>
          </w:p>
        </w:tc>
        <w:tc>
          <w:tcPr>
            <w:tcW w:w="4236" w:type="dxa"/>
            <w:vAlign w:val="center"/>
          </w:tcPr>
          <w:p w14:paraId="230B5E70"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Recolección de información sectorial y normativa</w:t>
            </w:r>
          </w:p>
        </w:tc>
        <w:tc>
          <w:tcPr>
            <w:tcW w:w="3037" w:type="dxa"/>
            <w:vAlign w:val="center"/>
          </w:tcPr>
          <w:p w14:paraId="0632A8E9"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Base de insumos estructurada</w:t>
            </w:r>
          </w:p>
        </w:tc>
      </w:tr>
      <w:tr w:rsidR="00E51078" w:rsidRPr="00E51078" w14:paraId="1FD27378" w14:textId="77777777" w:rsidTr="003C2C7C">
        <w:tc>
          <w:tcPr>
            <w:tcW w:w="1838" w:type="dxa"/>
            <w:vAlign w:val="center"/>
          </w:tcPr>
          <w:p w14:paraId="29661C03"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Sistematización</w:t>
            </w:r>
          </w:p>
        </w:tc>
        <w:tc>
          <w:tcPr>
            <w:tcW w:w="4236" w:type="dxa"/>
            <w:vAlign w:val="center"/>
          </w:tcPr>
          <w:p w14:paraId="4D4D68AB"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Organización en matrices analíticas</w:t>
            </w:r>
          </w:p>
        </w:tc>
        <w:tc>
          <w:tcPr>
            <w:tcW w:w="3037" w:type="dxa"/>
            <w:vAlign w:val="center"/>
          </w:tcPr>
          <w:p w14:paraId="2DB55033"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Matriz de coherencia intersectorial</w:t>
            </w:r>
          </w:p>
        </w:tc>
      </w:tr>
      <w:tr w:rsidR="00E51078" w:rsidRPr="00E51078" w14:paraId="51B455F8" w14:textId="77777777" w:rsidTr="003C2C7C">
        <w:tc>
          <w:tcPr>
            <w:tcW w:w="1838" w:type="dxa"/>
            <w:vAlign w:val="center"/>
          </w:tcPr>
          <w:p w14:paraId="67A48C3F"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Análisis</w:t>
            </w:r>
          </w:p>
        </w:tc>
        <w:tc>
          <w:tcPr>
            <w:tcW w:w="4236" w:type="dxa"/>
            <w:vAlign w:val="center"/>
          </w:tcPr>
          <w:p w14:paraId="2EA53BEF"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Identificación de relaciones, riesgos y escenarios</w:t>
            </w:r>
          </w:p>
        </w:tc>
        <w:tc>
          <w:tcPr>
            <w:tcW w:w="3037" w:type="dxa"/>
            <w:vAlign w:val="center"/>
          </w:tcPr>
          <w:p w14:paraId="13F8FAA5"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Análisis estratégico</w:t>
            </w:r>
          </w:p>
        </w:tc>
      </w:tr>
      <w:tr w:rsidR="00E51078" w:rsidRPr="00E51078" w14:paraId="4FFD5C1F" w14:textId="77777777" w:rsidTr="003C2C7C">
        <w:tc>
          <w:tcPr>
            <w:tcW w:w="1838" w:type="dxa"/>
            <w:vAlign w:val="center"/>
          </w:tcPr>
          <w:p w14:paraId="0E52F69F"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Producción</w:t>
            </w:r>
          </w:p>
        </w:tc>
        <w:tc>
          <w:tcPr>
            <w:tcW w:w="4236" w:type="dxa"/>
            <w:vAlign w:val="center"/>
          </w:tcPr>
          <w:p w14:paraId="1FCBD7FA"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Generación de insumos institucionales</w:t>
            </w:r>
          </w:p>
        </w:tc>
        <w:tc>
          <w:tcPr>
            <w:tcW w:w="3037" w:type="dxa"/>
            <w:vAlign w:val="center"/>
          </w:tcPr>
          <w:p w14:paraId="6A295DB8" w14:textId="77777777" w:rsidR="00E51078" w:rsidRPr="00E51078" w:rsidRDefault="00E51078" w:rsidP="00E51078">
            <w:pPr>
              <w:jc w:val="both"/>
              <w:rPr>
                <w:rFonts w:asciiTheme="majorHAnsi" w:hAnsiTheme="majorHAnsi" w:cstheme="majorHAnsi"/>
              </w:rPr>
            </w:pPr>
            <w:r w:rsidRPr="00E51078">
              <w:rPr>
                <w:rFonts w:asciiTheme="majorHAnsi" w:hAnsiTheme="majorHAnsi" w:cstheme="majorHAnsi"/>
              </w:rPr>
              <w:t>Informes, alertas, reportes</w:t>
            </w:r>
          </w:p>
        </w:tc>
      </w:tr>
    </w:tbl>
    <w:p w14:paraId="45C3E9E7"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Fuente: Elaboración propia</w:t>
      </w:r>
    </w:p>
    <w:p w14:paraId="07F11831" w14:textId="77777777" w:rsidR="00326250" w:rsidRPr="00E51078" w:rsidRDefault="00326250" w:rsidP="00E51078">
      <w:pPr>
        <w:spacing w:after="0"/>
        <w:jc w:val="both"/>
        <w:rPr>
          <w:rFonts w:asciiTheme="majorHAnsi" w:hAnsiTheme="majorHAnsi" w:cstheme="majorHAnsi"/>
        </w:rPr>
      </w:pPr>
    </w:p>
    <w:p w14:paraId="4739B80A"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En la fase de captura, se consolida información proveniente de los pivotes sectoriales y del entorno normativo e institucional, bajo criterios homogéneos que permitan su posterior análisis. Esta fase no implica recolección primaria, sino la organización estructurada de información ya existente.</w:t>
      </w:r>
    </w:p>
    <w:p w14:paraId="0C561FDE" w14:textId="77777777" w:rsidR="00326250" w:rsidRPr="00E51078" w:rsidRDefault="00326250" w:rsidP="00E51078">
      <w:pPr>
        <w:spacing w:after="0"/>
        <w:jc w:val="both"/>
        <w:rPr>
          <w:rFonts w:asciiTheme="majorHAnsi" w:hAnsiTheme="majorHAnsi" w:cstheme="majorHAnsi"/>
        </w:rPr>
      </w:pPr>
    </w:p>
    <w:p w14:paraId="5F113F05"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En la fase de sistematización, la información se organiza en matrices analíticas que permiten visualizar coherencias intersectoriales, impactos territoriales y riesgos regulatorios. En este punto, resulta útil adoptar matrices de doble entrada que crucen pivotes sectoriales con problemáticas transversales, permitiendo analizar un mismo tema desde múltiples dimensiones del sector.</w:t>
      </w:r>
    </w:p>
    <w:p w14:paraId="33AB8593" w14:textId="77777777" w:rsidR="00326250" w:rsidRPr="00E51078" w:rsidRDefault="00326250" w:rsidP="00E51078">
      <w:pPr>
        <w:spacing w:after="0"/>
        <w:jc w:val="both"/>
        <w:rPr>
          <w:rFonts w:asciiTheme="majorHAnsi" w:hAnsiTheme="majorHAnsi" w:cstheme="majorHAnsi"/>
        </w:rPr>
      </w:pPr>
    </w:p>
    <w:p w14:paraId="56301B50"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Por su parte, la fase de análisis estratégico incorpora la interpretación de las relaciones identificadas, la evaluación de escenarios institucionales y sectoriales, y la formulación de recomendaciones. En esta fase resulta particularmente relevante integrar ejercicios de benchmarking normativo e institucional, que permitan contrastar la arquitectura del sector colombiano con experiencias comparadas, identificar buenas prácticas y advertir posibles riesgos de implementación.</w:t>
      </w:r>
    </w:p>
    <w:p w14:paraId="0E94ADC6" w14:textId="77777777" w:rsidR="00326250" w:rsidRPr="00E51078" w:rsidRDefault="00326250" w:rsidP="00E51078">
      <w:pPr>
        <w:spacing w:after="0"/>
        <w:jc w:val="both"/>
        <w:rPr>
          <w:rFonts w:asciiTheme="majorHAnsi" w:hAnsiTheme="majorHAnsi" w:cstheme="majorHAnsi"/>
        </w:rPr>
      </w:pPr>
    </w:p>
    <w:p w14:paraId="78DB3302" w14:textId="77777777" w:rsidR="00326250" w:rsidRPr="00E51078" w:rsidRDefault="00E51078" w:rsidP="00E51078">
      <w:pPr>
        <w:spacing w:after="0"/>
        <w:jc w:val="both"/>
        <w:rPr>
          <w:rFonts w:asciiTheme="majorHAnsi" w:hAnsiTheme="majorHAnsi" w:cstheme="majorHAnsi"/>
        </w:rPr>
      </w:pPr>
      <w:r w:rsidRPr="00E51078">
        <w:rPr>
          <w:rFonts w:asciiTheme="majorHAnsi" w:hAnsiTheme="majorHAnsi" w:cstheme="majorHAnsi"/>
        </w:rPr>
        <w:lastRenderedPageBreak/>
        <w:t>Finalmente, en la fase de producción se generan insumos estratégicos orientados a la toma de decisiones y a la consolidación de memoria institucional. Este flujo no opera de manera lineal, sino como un proceso continuo y acumulativo que fortalece progresivamente la capacidad analítica del Ministerio.</w:t>
      </w:r>
    </w:p>
    <w:p w14:paraId="0C40C8C5" w14:textId="77777777" w:rsidR="00E51078" w:rsidRPr="00E51078" w:rsidRDefault="00E51078" w:rsidP="00326250">
      <w:pPr>
        <w:pStyle w:val="Ttulo2"/>
      </w:pPr>
      <w:bookmarkStart w:id="274" w:name="_Toc235108065"/>
      <w:r w:rsidRPr="00E51078">
        <w:t>Relación con la cadena de valor del proyecto de inversión</w:t>
      </w:r>
      <w:bookmarkEnd w:id="274"/>
    </w:p>
    <w:p w14:paraId="2C62D68E"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La arquitectura metodológica del Pivote Transversal se articula de manera directa con la cadena de valor del proyecto de inversión, en tanto estructura y da coherencia a sus distintas fases. El marco teórico–conceptual define las bases analíticas del modelo, el análisis transversal sectorial y territorial permite su aplicación operativa, la fase de síntesis consolida los resultados en insumos estratégicos y la divulgación garantiza su apropiación institucional. En conjunto, estas etapas configuran un proceso acumulativo e integrado que posiciona al Pivote Transversal como el eje estructurador del fortalecimiento institucional propuesto.</w:t>
      </w:r>
    </w:p>
    <w:p w14:paraId="66CDC6C6" w14:textId="77777777" w:rsidR="00E51078" w:rsidRPr="00E51078" w:rsidRDefault="00E51078" w:rsidP="00326250">
      <w:pPr>
        <w:pStyle w:val="Ttulo2"/>
      </w:pPr>
      <w:bookmarkStart w:id="275" w:name="_Toc235108066"/>
      <w:r w:rsidRPr="00E51078">
        <w:t>Enfoque metodológico general</w:t>
      </w:r>
      <w:bookmarkEnd w:id="275"/>
    </w:p>
    <w:p w14:paraId="7F4F74D0"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El modelo metodológico del Pivote Transversal se plantea como un sistema de integración analítica orientado a organizar y proyectar información sectorial e institucional en clave estratégica. No busca producir información nueva en términos técnicos, sino aprovechar la ya existente, integrándola bajo criterios comunes que permitan identificar coherencias, reconocer riesgos y aportar elementos para la toma de decisiones.</w:t>
      </w:r>
    </w:p>
    <w:p w14:paraId="26415C6E"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3483AE05"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El enfoque se sustenta en algunos principios que orientan su funcionamiento.</w:t>
      </w:r>
    </w:p>
    <w:p w14:paraId="3AB7C94A"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37B1DCB2"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 xml:space="preserve">En primer lugar, la </w:t>
      </w:r>
      <w:proofErr w:type="spellStart"/>
      <w:r w:rsidRPr="00E51078">
        <w:rPr>
          <w:rFonts w:asciiTheme="majorHAnsi" w:hAnsiTheme="majorHAnsi" w:cstheme="majorHAnsi"/>
          <w:sz w:val="22"/>
          <w:szCs w:val="22"/>
        </w:rPr>
        <w:t>acumulatividad</w:t>
      </w:r>
      <w:proofErr w:type="spellEnd"/>
      <w:r w:rsidRPr="00E51078">
        <w:rPr>
          <w:rFonts w:asciiTheme="majorHAnsi" w:hAnsiTheme="majorHAnsi" w:cstheme="majorHAnsi"/>
          <w:sz w:val="22"/>
          <w:szCs w:val="22"/>
        </w:rPr>
        <w:t>. El modelo no opera a partir de ejercicios aislados, sino como un proceso continuo de captura, organización y análisis de información. Esto permite consolidar memoria institucional y fortalecer la capacidad de aprendizaje del Ministerio en el tiempo.</w:t>
      </w:r>
    </w:p>
    <w:p w14:paraId="3D6C7713"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0520E8A6"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 xml:space="preserve">En segundo lugar, la transversalidad analítica. La información proveniente de los pivotes de energía, minería e hidrocarburos se integra bajo categorías comunes que facilitan su lectura comparada. Más allá de describir situaciones puntuales, este ejercicio permite identificar tendencias sectoriales e </w:t>
      </w:r>
      <w:r w:rsidRPr="00E51078">
        <w:rPr>
          <w:rFonts w:asciiTheme="majorHAnsi" w:hAnsiTheme="majorHAnsi" w:cstheme="majorHAnsi"/>
          <w:sz w:val="22"/>
          <w:szCs w:val="22"/>
        </w:rPr>
        <w:lastRenderedPageBreak/>
        <w:t>institucionales que aportan a la comprensión de los escenarios de implementación de la Transición Energética Justa.</w:t>
      </w:r>
    </w:p>
    <w:p w14:paraId="5A89EC7D"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78425C7C"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Sobre esta base, el modelo se organiza en módulos operativos interdependientes, que estructuran el proceso de integración, análisis y producción de insumos estratégicos de manera articulada.</w:t>
      </w:r>
    </w:p>
    <w:p w14:paraId="24E30286"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 xml:space="preserve">En términos prácticos, el enfoque metodológico del Pivote Transversal se alimenta de tres fuentes: i) documentos sectoriales producidos por los pivotes de energía, minería e hidrocarburos; </w:t>
      </w:r>
      <w:proofErr w:type="spellStart"/>
      <w:r w:rsidRPr="00E51078">
        <w:rPr>
          <w:rFonts w:asciiTheme="majorHAnsi" w:hAnsiTheme="majorHAnsi" w:cstheme="majorHAnsi"/>
          <w:sz w:val="22"/>
          <w:szCs w:val="22"/>
        </w:rPr>
        <w:t>ii</w:t>
      </w:r>
      <w:proofErr w:type="spellEnd"/>
      <w:r w:rsidRPr="00E51078">
        <w:rPr>
          <w:rFonts w:asciiTheme="majorHAnsi" w:hAnsiTheme="majorHAnsi" w:cstheme="majorHAnsi"/>
          <w:sz w:val="22"/>
          <w:szCs w:val="22"/>
        </w:rPr>
        <w:t xml:space="preserve">) instrumentos normativos y de política pública asociados a la TEJ; y </w:t>
      </w:r>
      <w:proofErr w:type="spellStart"/>
      <w:r w:rsidRPr="00E51078">
        <w:rPr>
          <w:rFonts w:asciiTheme="majorHAnsi" w:hAnsiTheme="majorHAnsi" w:cstheme="majorHAnsi"/>
          <w:sz w:val="22"/>
          <w:szCs w:val="22"/>
        </w:rPr>
        <w:t>iii</w:t>
      </w:r>
      <w:proofErr w:type="spellEnd"/>
      <w:r w:rsidRPr="00E51078">
        <w:rPr>
          <w:rFonts w:asciiTheme="majorHAnsi" w:hAnsiTheme="majorHAnsi" w:cstheme="majorHAnsi"/>
          <w:sz w:val="22"/>
          <w:szCs w:val="22"/>
        </w:rPr>
        <w:t>) información cualitativa y de actores derivada de entrevistas, cuestionarios, grupos focales o espacios dialógicos realizados por los demás componentes del proyecto. La utilidad del modelo está en convertir esas fuentes en productos comparables y reutilizables.</w:t>
      </w:r>
    </w:p>
    <w:p w14:paraId="33E4A3B9"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6569D043" w14:textId="77777777" w:rsidR="00E51078" w:rsidRPr="00E51078" w:rsidRDefault="00E51078" w:rsidP="00326250">
      <w:pPr>
        <w:pStyle w:val="Ttulo2"/>
      </w:pPr>
      <w:bookmarkStart w:id="276" w:name="_Toc235108067"/>
      <w:r w:rsidRPr="00E51078">
        <w:t>Módulo I: Integración documental estratégica</w:t>
      </w:r>
      <w:bookmarkEnd w:id="276"/>
    </w:p>
    <w:p w14:paraId="2767954D"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Este módulo tiene como propósito consolidar los principales instrumentos de política pública del sector minero–energético en una matriz de coherencia estratégica que permita analizar su articulación en el marco de la Transición Energética Justa.</w:t>
      </w:r>
    </w:p>
    <w:p w14:paraId="4BD76138"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 xml:space="preserve">Tabla 3. </w:t>
      </w:r>
      <w:r w:rsidRPr="00E51078">
        <w:rPr>
          <w:rFonts w:asciiTheme="majorHAnsi" w:hAnsiTheme="majorHAnsi" w:cstheme="majorHAnsi"/>
          <w:i/>
          <w:iCs/>
          <w:sz w:val="22"/>
          <w:szCs w:val="22"/>
        </w:rPr>
        <w:t>Variables Modulo I</w:t>
      </w:r>
    </w:p>
    <w:tbl>
      <w:tblPr>
        <w:tblStyle w:val="Tablaconcuadrcula"/>
        <w:tblW w:w="0" w:type="auto"/>
        <w:tblLook w:val="04A0" w:firstRow="1" w:lastRow="0" w:firstColumn="1" w:lastColumn="0" w:noHBand="0" w:noVBand="1"/>
      </w:tblPr>
      <w:tblGrid>
        <w:gridCol w:w="2830"/>
        <w:gridCol w:w="6281"/>
      </w:tblGrid>
      <w:tr w:rsidR="00E51078" w:rsidRPr="00E51078" w14:paraId="49FC8359" w14:textId="77777777" w:rsidTr="003C2C7C">
        <w:tc>
          <w:tcPr>
            <w:tcW w:w="2830" w:type="dxa"/>
            <w:vAlign w:val="center"/>
          </w:tcPr>
          <w:p w14:paraId="20B98EAB"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b/>
                <w:bCs/>
                <w:sz w:val="22"/>
                <w:szCs w:val="22"/>
              </w:rPr>
              <w:t>Variable de análisis</w:t>
            </w:r>
          </w:p>
        </w:tc>
        <w:tc>
          <w:tcPr>
            <w:tcW w:w="6281" w:type="dxa"/>
            <w:vAlign w:val="center"/>
          </w:tcPr>
          <w:p w14:paraId="09A2EA20"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b/>
                <w:bCs/>
                <w:sz w:val="22"/>
                <w:szCs w:val="22"/>
              </w:rPr>
              <w:t>Descripción</w:t>
            </w:r>
          </w:p>
        </w:tc>
      </w:tr>
      <w:tr w:rsidR="00E51078" w:rsidRPr="00E51078" w14:paraId="10577745" w14:textId="77777777" w:rsidTr="003C2C7C">
        <w:tc>
          <w:tcPr>
            <w:tcW w:w="2830" w:type="dxa"/>
            <w:vAlign w:val="center"/>
          </w:tcPr>
          <w:p w14:paraId="7747D03C"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Objetivo estratégico</w:t>
            </w:r>
          </w:p>
        </w:tc>
        <w:tc>
          <w:tcPr>
            <w:tcW w:w="6281" w:type="dxa"/>
            <w:vAlign w:val="center"/>
          </w:tcPr>
          <w:p w14:paraId="190C8503"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Finalidad del instrumento de política pública</w:t>
            </w:r>
          </w:p>
        </w:tc>
      </w:tr>
      <w:tr w:rsidR="00E51078" w:rsidRPr="00E51078" w14:paraId="489D989F" w14:textId="77777777" w:rsidTr="003C2C7C">
        <w:tc>
          <w:tcPr>
            <w:tcW w:w="2830" w:type="dxa"/>
            <w:vAlign w:val="center"/>
          </w:tcPr>
          <w:p w14:paraId="068747DE"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Horizonte temporal</w:t>
            </w:r>
          </w:p>
        </w:tc>
        <w:tc>
          <w:tcPr>
            <w:tcW w:w="6281" w:type="dxa"/>
            <w:vAlign w:val="center"/>
          </w:tcPr>
          <w:p w14:paraId="0EDCD32A"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Plazo de implementación y vigencia</w:t>
            </w:r>
          </w:p>
        </w:tc>
      </w:tr>
      <w:tr w:rsidR="00E51078" w:rsidRPr="00E51078" w14:paraId="138584CA" w14:textId="77777777" w:rsidTr="003C2C7C">
        <w:tc>
          <w:tcPr>
            <w:tcW w:w="2830" w:type="dxa"/>
            <w:vAlign w:val="center"/>
          </w:tcPr>
          <w:p w14:paraId="60F4E599"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Impacto territorial</w:t>
            </w:r>
          </w:p>
        </w:tc>
        <w:tc>
          <w:tcPr>
            <w:tcW w:w="6281" w:type="dxa"/>
            <w:vAlign w:val="center"/>
          </w:tcPr>
          <w:p w14:paraId="2E19169E"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Efectos diferenciados en regiones y territorios</w:t>
            </w:r>
          </w:p>
        </w:tc>
      </w:tr>
      <w:tr w:rsidR="00E51078" w:rsidRPr="00E51078" w14:paraId="215D9C94" w14:textId="77777777" w:rsidTr="003C2C7C">
        <w:tc>
          <w:tcPr>
            <w:tcW w:w="2830" w:type="dxa"/>
            <w:vAlign w:val="center"/>
          </w:tcPr>
          <w:p w14:paraId="0444079D"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Efectos fiscales</w:t>
            </w:r>
          </w:p>
        </w:tc>
        <w:tc>
          <w:tcPr>
            <w:tcW w:w="6281" w:type="dxa"/>
            <w:vAlign w:val="center"/>
          </w:tcPr>
          <w:p w14:paraId="40E4B76D"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Implicaciones económicas y sostenibilidad financiera</w:t>
            </w:r>
          </w:p>
        </w:tc>
      </w:tr>
      <w:tr w:rsidR="00E51078" w:rsidRPr="00E51078" w14:paraId="02531A48" w14:textId="77777777" w:rsidTr="003C2C7C">
        <w:tc>
          <w:tcPr>
            <w:tcW w:w="2830" w:type="dxa"/>
            <w:vAlign w:val="center"/>
          </w:tcPr>
          <w:p w14:paraId="1F4C9449"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Implicaciones regulatorias</w:t>
            </w:r>
          </w:p>
        </w:tc>
        <w:tc>
          <w:tcPr>
            <w:tcW w:w="6281" w:type="dxa"/>
            <w:vAlign w:val="center"/>
          </w:tcPr>
          <w:p w14:paraId="57E1890A"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Cambios normativos asociados</w:t>
            </w:r>
          </w:p>
        </w:tc>
      </w:tr>
      <w:tr w:rsidR="00E51078" w:rsidRPr="00E51078" w14:paraId="62A4E79C" w14:textId="77777777" w:rsidTr="003C2C7C">
        <w:tc>
          <w:tcPr>
            <w:tcW w:w="2830" w:type="dxa"/>
            <w:vAlign w:val="center"/>
          </w:tcPr>
          <w:p w14:paraId="4923E0DF"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Articulación intersectorial</w:t>
            </w:r>
          </w:p>
        </w:tc>
        <w:tc>
          <w:tcPr>
            <w:tcW w:w="6281" w:type="dxa"/>
            <w:vAlign w:val="center"/>
          </w:tcPr>
          <w:p w14:paraId="0076A502"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Relación con otros pivotes sectoriales</w:t>
            </w:r>
          </w:p>
        </w:tc>
      </w:tr>
      <w:tr w:rsidR="00E51078" w:rsidRPr="00E51078" w14:paraId="39424407" w14:textId="77777777" w:rsidTr="003C2C7C">
        <w:tc>
          <w:tcPr>
            <w:tcW w:w="2830" w:type="dxa"/>
            <w:vAlign w:val="center"/>
          </w:tcPr>
          <w:p w14:paraId="6B563A1D"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Problemática transversal asociada</w:t>
            </w:r>
          </w:p>
        </w:tc>
        <w:tc>
          <w:tcPr>
            <w:tcW w:w="6281" w:type="dxa"/>
            <w:vAlign w:val="center"/>
          </w:tcPr>
          <w:p w14:paraId="66006C29"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Relación con temas como participación, conflictos, seguridad energética o sostenibilidad</w:t>
            </w:r>
          </w:p>
        </w:tc>
      </w:tr>
    </w:tbl>
    <w:p w14:paraId="3E387FEF"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Fuente: Elaboración propia</w:t>
      </w:r>
    </w:p>
    <w:p w14:paraId="1890C0EE"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p>
    <w:p w14:paraId="04461A6B"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lastRenderedPageBreak/>
        <w:t xml:space="preserve">El análisis desarrollado en este módulo no se limita a la descripción de cada instrumento, sino que busca evaluar su alineación con los objetivos de la Transición Energética Justa, así como su interacción con otros instrumentos sectoriales. </w:t>
      </w:r>
    </w:p>
    <w:p w14:paraId="107037F1"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3C1ECD73"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 xml:space="preserve">En este sentido, la integración documental permite identificar coherencias, interdependencias y posibles tensiones entre instrumentos de política pública, contribuyendo a una lectura estructurada del sector. Este ejercicio resulta especialmente relevante en un contexto donde múltiples instrumentos —como planes, CONPES, regulaciones y lineamientos sectoriales— coexisten y pueden generar solapamientos o vacíos de articulación. </w:t>
      </w:r>
    </w:p>
    <w:p w14:paraId="04BC97C3"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5216C54B"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Para fortalecer este módulo, se incorpora la variable de “problemática transversal asociada”, la cual permite clasificar cada instrumento según su relación con temas que aparecen de manera recurrente en los documentos sectoriales. Entre estos se encuentran la participación, la consulta previa, la conflictividad socioambiental, los derechos humanos, la paz territorial, el enfoque diferencial, la sostenibilidad fiscal, la seguridad energética y la articulación institucional.</w:t>
      </w:r>
    </w:p>
    <w:p w14:paraId="4E9BA397" w14:textId="77777777" w:rsidR="00326250"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De esta manera, el Módulo I no solo organiza la información normativa y sectorial, sino que la convierte en una herramienta analítica que facilita la comparación entre instrumentos, la identificación de patrones comunes y la construcción de insumos estratégicos para la toma de decisiones institucional.</w:t>
      </w:r>
    </w:p>
    <w:p w14:paraId="43DFAD6C" w14:textId="77777777" w:rsidR="00E51078" w:rsidRPr="00E51078" w:rsidRDefault="00E51078" w:rsidP="00326250">
      <w:pPr>
        <w:pStyle w:val="Ttulo2"/>
      </w:pPr>
      <w:bookmarkStart w:id="277" w:name="_Toc235108068"/>
      <w:r w:rsidRPr="00E51078">
        <w:t>Módulo II: Caracterización estratégica de actores y grupos de valor</w:t>
      </w:r>
      <w:bookmarkEnd w:id="277"/>
    </w:p>
    <w:p w14:paraId="770CF2B4"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Este módulo desarrolla una caracterización estratégica orientada a comprender las dinámicas de interacción entre actores relevantes para el sector minero–energético, a partir de variables que permiten analizar su rol en la implementación de la Transición Energética Justa.</w:t>
      </w:r>
    </w:p>
    <w:p w14:paraId="46C7E7DD"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7E16E884"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 xml:space="preserve">Tabla 4. </w:t>
      </w:r>
      <w:r w:rsidRPr="00E51078">
        <w:rPr>
          <w:rFonts w:asciiTheme="majorHAnsi" w:hAnsiTheme="majorHAnsi" w:cstheme="majorHAnsi"/>
          <w:i/>
          <w:iCs/>
          <w:sz w:val="22"/>
          <w:szCs w:val="22"/>
        </w:rPr>
        <w:t>Caracterización de actores</w:t>
      </w:r>
    </w:p>
    <w:tbl>
      <w:tblPr>
        <w:tblStyle w:val="Tablaconcuadrcula"/>
        <w:tblW w:w="0" w:type="auto"/>
        <w:tblLook w:val="04A0" w:firstRow="1" w:lastRow="0" w:firstColumn="1" w:lastColumn="0" w:noHBand="0" w:noVBand="1"/>
      </w:tblPr>
      <w:tblGrid>
        <w:gridCol w:w="3397"/>
        <w:gridCol w:w="5714"/>
      </w:tblGrid>
      <w:tr w:rsidR="00E51078" w:rsidRPr="00E51078" w14:paraId="4EECF991" w14:textId="77777777" w:rsidTr="003C2C7C">
        <w:tc>
          <w:tcPr>
            <w:tcW w:w="3397" w:type="dxa"/>
            <w:vAlign w:val="center"/>
          </w:tcPr>
          <w:p w14:paraId="4FE30AFC"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b/>
                <w:bCs/>
                <w:sz w:val="22"/>
                <w:szCs w:val="22"/>
              </w:rPr>
              <w:t>Dimensión de análisis</w:t>
            </w:r>
          </w:p>
        </w:tc>
        <w:tc>
          <w:tcPr>
            <w:tcW w:w="5714" w:type="dxa"/>
            <w:vAlign w:val="center"/>
          </w:tcPr>
          <w:p w14:paraId="54294947"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b/>
                <w:bCs/>
                <w:sz w:val="22"/>
                <w:szCs w:val="22"/>
              </w:rPr>
              <w:t>Descripción</w:t>
            </w:r>
          </w:p>
        </w:tc>
      </w:tr>
      <w:tr w:rsidR="00E51078" w:rsidRPr="00E51078" w14:paraId="3F50F03B" w14:textId="77777777" w:rsidTr="003C2C7C">
        <w:tc>
          <w:tcPr>
            <w:tcW w:w="3397" w:type="dxa"/>
            <w:vAlign w:val="center"/>
          </w:tcPr>
          <w:p w14:paraId="742F022B"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Incidencia sectorial</w:t>
            </w:r>
          </w:p>
        </w:tc>
        <w:tc>
          <w:tcPr>
            <w:tcW w:w="5714" w:type="dxa"/>
            <w:vAlign w:val="center"/>
          </w:tcPr>
          <w:p w14:paraId="4A732B4C"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Nivel de participación del actor en las dinámicas del sector minero–energético</w:t>
            </w:r>
          </w:p>
        </w:tc>
      </w:tr>
      <w:tr w:rsidR="00E51078" w:rsidRPr="00E51078" w14:paraId="3C771761" w14:textId="77777777" w:rsidTr="003C2C7C">
        <w:tc>
          <w:tcPr>
            <w:tcW w:w="3397" w:type="dxa"/>
            <w:vAlign w:val="center"/>
          </w:tcPr>
          <w:p w14:paraId="1F1CD74F"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Incidencia territorial</w:t>
            </w:r>
          </w:p>
        </w:tc>
        <w:tc>
          <w:tcPr>
            <w:tcW w:w="5714" w:type="dxa"/>
            <w:vAlign w:val="center"/>
          </w:tcPr>
          <w:p w14:paraId="307CBD4E"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Presencia y capacidad de actuación en territorios específicos</w:t>
            </w:r>
          </w:p>
        </w:tc>
      </w:tr>
      <w:tr w:rsidR="00E51078" w:rsidRPr="00E51078" w14:paraId="26FB2841" w14:textId="77777777" w:rsidTr="003C2C7C">
        <w:tc>
          <w:tcPr>
            <w:tcW w:w="3397" w:type="dxa"/>
            <w:vAlign w:val="center"/>
          </w:tcPr>
          <w:p w14:paraId="3FC8A700"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lastRenderedPageBreak/>
              <w:t>Posicionamiento frente a la TEJ</w:t>
            </w:r>
          </w:p>
        </w:tc>
        <w:tc>
          <w:tcPr>
            <w:tcW w:w="5714" w:type="dxa"/>
            <w:vAlign w:val="center"/>
          </w:tcPr>
          <w:p w14:paraId="0FBB7EC6"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Intereses, rol y nivel de alineación con los objetivos de la transición</w:t>
            </w:r>
          </w:p>
        </w:tc>
      </w:tr>
      <w:tr w:rsidR="00E51078" w:rsidRPr="00E51078" w14:paraId="005A1E57" w14:textId="77777777" w:rsidTr="003C2C7C">
        <w:tc>
          <w:tcPr>
            <w:tcW w:w="3397" w:type="dxa"/>
            <w:vAlign w:val="center"/>
          </w:tcPr>
          <w:p w14:paraId="0C44138B"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Capacidad institucional y operativa</w:t>
            </w:r>
          </w:p>
        </w:tc>
        <w:tc>
          <w:tcPr>
            <w:tcW w:w="5714" w:type="dxa"/>
            <w:vAlign w:val="center"/>
          </w:tcPr>
          <w:p w14:paraId="2AAE6B60"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Nivel de organización, recursos y capacidad de gestión</w:t>
            </w:r>
          </w:p>
        </w:tc>
      </w:tr>
      <w:tr w:rsidR="00E51078" w:rsidRPr="00E51078" w14:paraId="1CDAC3A9" w14:textId="77777777" w:rsidTr="003C2C7C">
        <w:tc>
          <w:tcPr>
            <w:tcW w:w="3397" w:type="dxa"/>
            <w:vAlign w:val="center"/>
          </w:tcPr>
          <w:p w14:paraId="1C4AA8A1"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Articulación interinstitucional</w:t>
            </w:r>
          </w:p>
        </w:tc>
        <w:tc>
          <w:tcPr>
            <w:tcW w:w="5714" w:type="dxa"/>
            <w:vAlign w:val="center"/>
          </w:tcPr>
          <w:p w14:paraId="7733E4BB"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Capacidad de coordinación con otros actores y participación en esquemas institucionales</w:t>
            </w:r>
          </w:p>
        </w:tc>
      </w:tr>
      <w:tr w:rsidR="00E51078" w:rsidRPr="00E51078" w14:paraId="60904358" w14:textId="77777777" w:rsidTr="003C2C7C">
        <w:tc>
          <w:tcPr>
            <w:tcW w:w="3397" w:type="dxa"/>
            <w:vAlign w:val="center"/>
          </w:tcPr>
          <w:p w14:paraId="0F90E943"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Percepciones e imaginarios</w:t>
            </w:r>
          </w:p>
        </w:tc>
        <w:tc>
          <w:tcPr>
            <w:tcW w:w="5714" w:type="dxa"/>
            <w:vAlign w:val="center"/>
          </w:tcPr>
          <w:p w14:paraId="45517207"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Opiniones, expectativas y niveles de aceptación frente a la TEJ</w:t>
            </w:r>
          </w:p>
        </w:tc>
      </w:tr>
    </w:tbl>
    <w:p w14:paraId="197467C7"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Fuente: Elaboración propia</w:t>
      </w:r>
    </w:p>
    <w:p w14:paraId="21BE0AD9"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12B2DA3C"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Además de estas dimensiones, el módulo permite incorporar información cualitativa relacionada con percepciones, imaginarios y necesidades expresadas por los actores frente a la Transición Energética Justa. Esta información resulta relevante en la medida en que los procesos de transformación sectorial no dependen únicamente de desarrollos técnicos o normativos, sino también de los niveles de confianza, aceptación y apropiación social en los territorios.</w:t>
      </w:r>
    </w:p>
    <w:p w14:paraId="726AFA7F"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En este sentido, la caracterización estratégica no se limita a identificar actores, sino que busca comprender sus dinámicas de interacción, niveles de incidencia y posibles formas de articulación institucional. Esto permite anticipar escenarios de implementación, identificar tensiones potenciales y fortalecer el diseño de estrategias de relacionamiento institucional.</w:t>
      </w:r>
    </w:p>
    <w:p w14:paraId="0D18DE04"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0E09E6F2"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Es importante señalar que este análisis se desarrolla desde un enfoque técnico e institucional. Su propósito no es clasificar actores en términos políticos, sino aportar elementos que permitan mejorar la calidad de la interacción entre el Ministerio y los distintos grupos de valor del sector.</w:t>
      </w:r>
    </w:p>
    <w:p w14:paraId="2CED7AD4"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2D8DD13D"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En el marco del Pivote Transversal, este módulo se integra como una herramienta analítica que contribuye a estructurar una lectura del entorno institucional, territorial y sectorial en el que se implementa la Transición Energética Justa.</w:t>
      </w:r>
    </w:p>
    <w:p w14:paraId="34A0C9CF"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176AC9F7" w14:textId="77777777" w:rsidR="00E51078" w:rsidRPr="00E51078" w:rsidRDefault="00E51078" w:rsidP="00326250">
      <w:pPr>
        <w:pStyle w:val="Ttulo2"/>
      </w:pPr>
      <w:bookmarkStart w:id="278" w:name="_Toc235108069"/>
      <w:r w:rsidRPr="00E51078">
        <w:lastRenderedPageBreak/>
        <w:t>Módulo III: Producción de insumos estratégicos institucionales</w:t>
      </w:r>
      <w:bookmarkEnd w:id="278"/>
    </w:p>
    <w:p w14:paraId="76D2D24F"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El tercer módulo consolida los hallazgos provenientes de los módulos de integración documental y caracterización de actores en productos institucionales orientados a fortalecer la toma de decisiones estratégicas del Ministerio.</w:t>
      </w:r>
    </w:p>
    <w:p w14:paraId="10DB08C7"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3DEC794F"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 xml:space="preserve">Tabla 5. </w:t>
      </w:r>
      <w:r w:rsidRPr="00E51078">
        <w:rPr>
          <w:rFonts w:asciiTheme="majorHAnsi" w:hAnsiTheme="majorHAnsi" w:cstheme="majorHAnsi"/>
          <w:i/>
          <w:iCs/>
          <w:sz w:val="22"/>
          <w:szCs w:val="22"/>
        </w:rPr>
        <w:t>Insumos proyectados</w:t>
      </w:r>
    </w:p>
    <w:tbl>
      <w:tblPr>
        <w:tblStyle w:val="Tablaconcuadrcula"/>
        <w:tblW w:w="0" w:type="auto"/>
        <w:tblLook w:val="04A0" w:firstRow="1" w:lastRow="0" w:firstColumn="1" w:lastColumn="0" w:noHBand="0" w:noVBand="1"/>
      </w:tblPr>
      <w:tblGrid>
        <w:gridCol w:w="2972"/>
        <w:gridCol w:w="6139"/>
      </w:tblGrid>
      <w:tr w:rsidR="00E51078" w:rsidRPr="00E51078" w14:paraId="72D487AC" w14:textId="77777777" w:rsidTr="003C2C7C">
        <w:tc>
          <w:tcPr>
            <w:tcW w:w="2972" w:type="dxa"/>
            <w:vAlign w:val="center"/>
          </w:tcPr>
          <w:p w14:paraId="33F69C53"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b/>
                <w:bCs/>
                <w:sz w:val="22"/>
                <w:szCs w:val="22"/>
              </w:rPr>
              <w:t>Tipo de producto</w:t>
            </w:r>
          </w:p>
        </w:tc>
        <w:tc>
          <w:tcPr>
            <w:tcW w:w="6139" w:type="dxa"/>
            <w:vAlign w:val="center"/>
          </w:tcPr>
          <w:p w14:paraId="16D7E0B7"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b/>
                <w:bCs/>
                <w:sz w:val="22"/>
                <w:szCs w:val="22"/>
              </w:rPr>
              <w:t>Descripción</w:t>
            </w:r>
          </w:p>
        </w:tc>
      </w:tr>
      <w:tr w:rsidR="00E51078" w:rsidRPr="00E51078" w14:paraId="5EF14824" w14:textId="77777777" w:rsidTr="003C2C7C">
        <w:tc>
          <w:tcPr>
            <w:tcW w:w="2972" w:type="dxa"/>
            <w:vAlign w:val="center"/>
          </w:tcPr>
          <w:p w14:paraId="5E65BE5B"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Informes ejecutivos de coherencia intersectorial</w:t>
            </w:r>
          </w:p>
        </w:tc>
        <w:tc>
          <w:tcPr>
            <w:tcW w:w="6139" w:type="dxa"/>
            <w:vAlign w:val="center"/>
          </w:tcPr>
          <w:p w14:paraId="0044800E"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Análisis integrados que identifican relaciones, coherencias y tensiones entre pivotes sectoriales</w:t>
            </w:r>
          </w:p>
        </w:tc>
      </w:tr>
      <w:tr w:rsidR="00E51078" w:rsidRPr="00E51078" w14:paraId="4EF5A59E" w14:textId="77777777" w:rsidTr="003C2C7C">
        <w:tc>
          <w:tcPr>
            <w:tcW w:w="2972" w:type="dxa"/>
            <w:vAlign w:val="center"/>
          </w:tcPr>
          <w:p w14:paraId="6969699D"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Alertas estratégicas sectoriales e institucionales</w:t>
            </w:r>
          </w:p>
        </w:tc>
        <w:tc>
          <w:tcPr>
            <w:tcW w:w="6139" w:type="dxa"/>
            <w:vAlign w:val="center"/>
          </w:tcPr>
          <w:p w14:paraId="0C05A0C7"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Identificación de riesgos, vacíos o situaciones críticas que requieren atención institucional</w:t>
            </w:r>
          </w:p>
        </w:tc>
      </w:tr>
      <w:tr w:rsidR="00E51078" w:rsidRPr="00E51078" w14:paraId="2141C00B" w14:textId="77777777" w:rsidTr="003C2C7C">
        <w:tc>
          <w:tcPr>
            <w:tcW w:w="2972" w:type="dxa"/>
            <w:vAlign w:val="center"/>
          </w:tcPr>
          <w:p w14:paraId="40DF887F"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Análisis prospectivos sectoriales</w:t>
            </w:r>
          </w:p>
        </w:tc>
        <w:tc>
          <w:tcPr>
            <w:tcW w:w="6139" w:type="dxa"/>
            <w:vAlign w:val="center"/>
          </w:tcPr>
          <w:p w14:paraId="5A8451C4"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Evaluación de escenarios posibles a partir de tendencias normativas, territoriales y sectoriales</w:t>
            </w:r>
          </w:p>
        </w:tc>
      </w:tr>
      <w:tr w:rsidR="00E51078" w:rsidRPr="00E51078" w14:paraId="1DAFC82D" w14:textId="77777777" w:rsidTr="003C2C7C">
        <w:tc>
          <w:tcPr>
            <w:tcW w:w="2972" w:type="dxa"/>
            <w:vAlign w:val="center"/>
          </w:tcPr>
          <w:p w14:paraId="727138CA"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Reportes estratégicos para alta dirección</w:t>
            </w:r>
          </w:p>
        </w:tc>
        <w:tc>
          <w:tcPr>
            <w:tcW w:w="6139" w:type="dxa"/>
            <w:vAlign w:val="center"/>
          </w:tcPr>
          <w:p w14:paraId="7C9C9291"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Síntesis ejecutivas orientadas a la toma de decisiones</w:t>
            </w:r>
          </w:p>
        </w:tc>
      </w:tr>
    </w:tbl>
    <w:p w14:paraId="7B9F37CB"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Fuente: Elaboración propia</w:t>
      </w:r>
    </w:p>
    <w:p w14:paraId="262C5199"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0D430EF6"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El valor de estos productos radica en que se construyen a partir de una base analítica estructurada, lo que permite superar enfoques coyunturales y avanzar hacia una lectura estratégica del sector minero–energético.</w:t>
      </w:r>
    </w:p>
    <w:p w14:paraId="60A1A591"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3459A057"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Adicionalmente, estos productos pueden complementarse con herramientas como mapas de interdependencias entre pivotes, matrices de coherencia normativa, fichas de riesgos transversales y reportes de seguimiento a problemáticas comunes. Estos insumos fortalecen la capacidad del Ministerio para identificar patrones, anticipar escenarios y consolidar posiciones institucionales frente a la implementación de la Transición Energética Justa.</w:t>
      </w:r>
    </w:p>
    <w:p w14:paraId="6D68FC53"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6FA4EA5F"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lastRenderedPageBreak/>
        <w:t>En este sentido, el Módulo III no solo representa la etapa final del proceso metodológico, sino el punto en el que la integración analítica se traduce en valor institucional, facilitando la articulación entre conocimiento técnico y toma de decisiones estratégicas.</w:t>
      </w:r>
    </w:p>
    <w:p w14:paraId="24C01FD8"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79927982" w14:textId="77777777" w:rsidR="00E51078" w:rsidRPr="00E51078" w:rsidRDefault="00E51078" w:rsidP="00326250">
      <w:pPr>
        <w:pStyle w:val="Ttulo2"/>
      </w:pPr>
      <w:bookmarkStart w:id="279" w:name="_Toc235108070"/>
      <w:r w:rsidRPr="00E51078">
        <w:t>Integración del modelo en la gestión institucional</w:t>
      </w:r>
      <w:bookmarkEnd w:id="279"/>
    </w:p>
    <w:p w14:paraId="034C5A7B"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El modelo metodológico no opera de manera paralela a la estructura institucional existente, sino que se integra a los procesos de gestión documental y planeación estratégica del Ministerio.</w:t>
      </w:r>
    </w:p>
    <w:p w14:paraId="2337C3AD"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La información sistematizada debe retroalimentar:</w:t>
      </w:r>
    </w:p>
    <w:p w14:paraId="2D5A9706"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Asimismo, debe retroalimentar los procesos de socialización interna, divulgación sectorial y apropiación institucional de la oferta pública del Ministerio, en coherencia con el objetivo del proyecto de fortalecer el vínculo Estado-ciudadanía y mejorar la comprensión de los grupos de valor sobre la TEJ.</w:t>
      </w:r>
    </w:p>
    <w:p w14:paraId="07607D20" w14:textId="77777777" w:rsidR="00E51078" w:rsidRPr="00E51078" w:rsidRDefault="00E51078" w:rsidP="00721806">
      <w:pPr>
        <w:pStyle w:val="NormalWeb"/>
        <w:numPr>
          <w:ilvl w:val="0"/>
          <w:numId w:val="60"/>
        </w:numPr>
        <w:spacing w:before="0" w:beforeAutospacing="0" w:after="0" w:afterAutospacing="0"/>
        <w:ind w:left="0" w:firstLine="0"/>
        <w:jc w:val="both"/>
        <w:rPr>
          <w:rFonts w:asciiTheme="majorHAnsi" w:hAnsiTheme="majorHAnsi" w:cstheme="majorHAnsi"/>
          <w:sz w:val="22"/>
          <w:szCs w:val="22"/>
        </w:rPr>
      </w:pPr>
      <w:r w:rsidRPr="00E51078">
        <w:rPr>
          <w:rFonts w:asciiTheme="majorHAnsi" w:hAnsiTheme="majorHAnsi" w:cstheme="majorHAnsi"/>
          <w:sz w:val="22"/>
          <w:szCs w:val="22"/>
        </w:rPr>
        <w:t>La formulación de política sectorial.</w:t>
      </w:r>
    </w:p>
    <w:p w14:paraId="1BACF418" w14:textId="77777777" w:rsidR="00E51078" w:rsidRPr="00E51078" w:rsidRDefault="00E51078" w:rsidP="00721806">
      <w:pPr>
        <w:pStyle w:val="NormalWeb"/>
        <w:numPr>
          <w:ilvl w:val="0"/>
          <w:numId w:val="60"/>
        </w:numPr>
        <w:spacing w:before="0" w:beforeAutospacing="0" w:after="0" w:afterAutospacing="0"/>
        <w:ind w:left="0" w:firstLine="0"/>
        <w:jc w:val="both"/>
        <w:rPr>
          <w:rFonts w:asciiTheme="majorHAnsi" w:hAnsiTheme="majorHAnsi" w:cstheme="majorHAnsi"/>
          <w:sz w:val="22"/>
          <w:szCs w:val="22"/>
        </w:rPr>
      </w:pPr>
      <w:r w:rsidRPr="00E51078">
        <w:rPr>
          <w:rFonts w:asciiTheme="majorHAnsi" w:hAnsiTheme="majorHAnsi" w:cstheme="majorHAnsi"/>
          <w:sz w:val="22"/>
          <w:szCs w:val="22"/>
        </w:rPr>
        <w:t>La planeación estratégica sectorial.</w:t>
      </w:r>
    </w:p>
    <w:p w14:paraId="551CEA6D" w14:textId="77777777" w:rsidR="00E51078" w:rsidRPr="00E51078" w:rsidRDefault="00E51078" w:rsidP="00721806">
      <w:pPr>
        <w:pStyle w:val="NormalWeb"/>
        <w:numPr>
          <w:ilvl w:val="0"/>
          <w:numId w:val="60"/>
        </w:numPr>
        <w:spacing w:before="0" w:beforeAutospacing="0" w:after="0" w:afterAutospacing="0"/>
        <w:ind w:left="0" w:firstLine="0"/>
        <w:jc w:val="both"/>
        <w:rPr>
          <w:rFonts w:asciiTheme="majorHAnsi" w:hAnsiTheme="majorHAnsi" w:cstheme="majorHAnsi"/>
          <w:sz w:val="22"/>
          <w:szCs w:val="22"/>
        </w:rPr>
      </w:pPr>
      <w:r w:rsidRPr="00E51078">
        <w:rPr>
          <w:rFonts w:asciiTheme="majorHAnsi" w:hAnsiTheme="majorHAnsi" w:cstheme="majorHAnsi"/>
          <w:sz w:val="22"/>
          <w:szCs w:val="22"/>
        </w:rPr>
        <w:t>La toma de decisiones de alta dirección.</w:t>
      </w:r>
    </w:p>
    <w:p w14:paraId="515A29CB"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Este ciclo de retroalimentación cierra el circuito institucional de gestión del conocimiento.</w:t>
      </w:r>
    </w:p>
    <w:p w14:paraId="0B02348E" w14:textId="77777777" w:rsidR="00326250" w:rsidRPr="00E51078" w:rsidRDefault="00326250" w:rsidP="00E51078">
      <w:pPr>
        <w:spacing w:after="0"/>
        <w:jc w:val="both"/>
        <w:rPr>
          <w:rFonts w:asciiTheme="majorHAnsi" w:hAnsiTheme="majorHAnsi" w:cstheme="majorHAnsi"/>
        </w:rPr>
      </w:pPr>
    </w:p>
    <w:p w14:paraId="6EA6DCF6" w14:textId="77777777" w:rsidR="00E51078" w:rsidRPr="00E51078" w:rsidRDefault="00E51078" w:rsidP="00326250">
      <w:pPr>
        <w:pStyle w:val="Ttulo2"/>
      </w:pPr>
      <w:bookmarkStart w:id="280" w:name="_Toc235108071"/>
      <w:r w:rsidRPr="00E51078">
        <w:t>Alcance y límites del modelo</w:t>
      </w:r>
      <w:bookmarkEnd w:id="280"/>
    </w:p>
    <w:p w14:paraId="1277BE1C"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Es fundamental precisar que el modelo metodológico del Pivote Transversal no sustituye las metodologías técnicas sectoriales ni interviene en la definición de políticas específicas. Su alcance se limita a la integración analítica y la sistematización estratégica. Esta delimitación garantiza coherencia institucional y evita la superposición de competencias.</w:t>
      </w:r>
    </w:p>
    <w:p w14:paraId="16C4EBA7" w14:textId="77777777" w:rsidR="00326250" w:rsidRPr="00E51078" w:rsidRDefault="00326250" w:rsidP="00E51078">
      <w:pPr>
        <w:spacing w:after="0"/>
        <w:jc w:val="both"/>
        <w:rPr>
          <w:rFonts w:asciiTheme="majorHAnsi" w:hAnsiTheme="majorHAnsi" w:cstheme="majorHAnsi"/>
        </w:rPr>
      </w:pPr>
    </w:p>
    <w:p w14:paraId="1B9110FB"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El modelo metodológico del Pivote Transversal establece una arquitectura operativa clara, con módulos definidos, variables analíticas estructuradas y productos institucionales verificables. Su implementación permitirá transformar información dispersa en conocimiento estratégico acumulativo, fortaleciendo la capacidad del Ministerio para gestionar la Transición Energética Justa con coherencia normativa y solidez argumentativa.</w:t>
      </w:r>
    </w:p>
    <w:p w14:paraId="27452036" w14:textId="77777777" w:rsidR="00E51078" w:rsidRPr="00E51078" w:rsidRDefault="00E51078" w:rsidP="00A86834">
      <w:pPr>
        <w:pStyle w:val="Ttulo1"/>
      </w:pPr>
      <w:bookmarkStart w:id="281" w:name="_Toc235108072"/>
      <w:r w:rsidRPr="00E51078">
        <w:lastRenderedPageBreak/>
        <w:t>Capítulo 1. Integración documental estratégica</w:t>
      </w:r>
      <w:bookmarkEnd w:id="281"/>
    </w:p>
    <w:p w14:paraId="21F185D8" w14:textId="77777777" w:rsidR="00E51078" w:rsidRPr="00E51078" w:rsidRDefault="00E51078" w:rsidP="00326250">
      <w:pPr>
        <w:pStyle w:val="Ttulo2"/>
      </w:pPr>
      <w:bookmarkStart w:id="282" w:name="_Toc235108073"/>
      <w:r w:rsidRPr="00E51078">
        <w:t>Introducción</w:t>
      </w:r>
      <w:bookmarkEnd w:id="282"/>
    </w:p>
    <w:p w14:paraId="49A87B39"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La fragmentación de los instrumentos de política pública, planeación, regulación y producción técnica del sector minero–energético limita la capacidad institucional para identificar coherencias, interdependencias y posibles tensiones que inciden sobre la implementación de la Transición Energética Justa (TEJ). En este contexto, la integración documental estratégica constituye una herramienta metodológica orientada a consolidar una lectura articulada del sector, facilitando la comprensión de las relaciones existentes entre los diferentes instrumentos que orientan su transformación.</w:t>
      </w:r>
    </w:p>
    <w:p w14:paraId="5F8C05AF" w14:textId="77777777" w:rsidR="00326250" w:rsidRPr="00E51078" w:rsidRDefault="00326250" w:rsidP="00E51078">
      <w:pPr>
        <w:spacing w:after="0"/>
        <w:jc w:val="both"/>
        <w:rPr>
          <w:rFonts w:asciiTheme="majorHAnsi" w:hAnsiTheme="majorHAnsi" w:cstheme="majorHAnsi"/>
        </w:rPr>
      </w:pPr>
    </w:p>
    <w:p w14:paraId="19C2EB76"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El desarrollo de este capítulo parte del reconocimiento de que los documentos elaborados para los subsectores de energía, minería e hidrocarburos contienen información estratégica que, al ser analizada de manera integrada, permite identificar convergencias, complementariedades, vacíos de articulación y tendencias comunes que difícilmente podrían reconocerse mediante aproximaciones sectoriales independientes. En consecuencia, la integración documental estratégica se concibe como un proceso acumulativo de análisis que contribuye a fortalecer la comprensión institucional de la Transición Energética Justa y a generar insumos para la toma de decisiones.</w:t>
      </w:r>
    </w:p>
    <w:p w14:paraId="65CFBC05" w14:textId="77777777" w:rsidR="00326250" w:rsidRPr="00E51078" w:rsidRDefault="00326250" w:rsidP="00E51078">
      <w:pPr>
        <w:spacing w:after="0"/>
        <w:jc w:val="both"/>
        <w:rPr>
          <w:rFonts w:asciiTheme="majorHAnsi" w:hAnsiTheme="majorHAnsi" w:cstheme="majorHAnsi"/>
        </w:rPr>
      </w:pPr>
    </w:p>
    <w:p w14:paraId="6D6D07D2"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Durante el desarrollo del Pivote Transversal se avanzó en la implementación de esta estrategia mediante la identificación, clasificación e integración de instrumentos normativos, documentos de política pública, desarrollos regulatorios y productos analíticos elaborados por los distintos pivotes del proyecto. Los resultados obtenidos constituyen una primera aproximación a la construcción de una visión integrada del sector y servirán de base para el desarrollo de los capítulos relacionados con la producción de insumos estratégicos institucionales y la gestión del conocimiento. El desarrollo metodológico completo y los resultados detallados del ejercicio se presentan en el Anexo 3. Integración Documental Estratégica.</w:t>
      </w:r>
    </w:p>
    <w:p w14:paraId="0AD1F4BC" w14:textId="77777777" w:rsidR="00326250" w:rsidRPr="00E51078" w:rsidRDefault="00326250" w:rsidP="00E51078">
      <w:pPr>
        <w:spacing w:after="0"/>
        <w:jc w:val="both"/>
        <w:rPr>
          <w:rFonts w:asciiTheme="majorHAnsi" w:hAnsiTheme="majorHAnsi" w:cstheme="majorHAnsi"/>
        </w:rPr>
      </w:pPr>
    </w:p>
    <w:p w14:paraId="33A68413" w14:textId="77777777" w:rsidR="00E51078" w:rsidRPr="00E51078" w:rsidRDefault="00E51078" w:rsidP="00326250">
      <w:pPr>
        <w:pStyle w:val="Ttulo3"/>
      </w:pPr>
      <w:bookmarkStart w:id="283" w:name="_Toc235108074"/>
      <w:r w:rsidRPr="00E51078">
        <w:lastRenderedPageBreak/>
        <w:t>Pregunta orientadora del capítulo</w:t>
      </w:r>
      <w:bookmarkEnd w:id="283"/>
    </w:p>
    <w:p w14:paraId="16259416"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¿Cómo integrar de manera estructurada y coherente los instrumentos de política pública de energía, minería e hidrocarburos para identificar interdependencias, alineaciones y posibles tensiones normativas en el marco de la Transición Energética Justa?</w:t>
      </w:r>
    </w:p>
    <w:p w14:paraId="3AAED8E6" w14:textId="77777777" w:rsidR="00E51078" w:rsidRPr="00E51078" w:rsidRDefault="00E51078" w:rsidP="00326250">
      <w:pPr>
        <w:pStyle w:val="Ttulo3"/>
      </w:pPr>
      <w:bookmarkStart w:id="284" w:name="_Toc235108075"/>
      <w:r w:rsidRPr="00E51078">
        <w:t>Hipótesis de trabajo</w:t>
      </w:r>
      <w:bookmarkEnd w:id="284"/>
    </w:p>
    <w:p w14:paraId="60C3BF47"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La estructuración de un sistema de integración documental estratégica permitirá consolidar una visión articulada de los instrumentos sectoriales, facilitando la identificación de coherencias e inconsistencias normativas y fortaleciendo la toma de decisiones institucional.</w:t>
      </w:r>
    </w:p>
    <w:p w14:paraId="508DEAD2" w14:textId="77777777" w:rsidR="00326250" w:rsidRPr="00E51078" w:rsidRDefault="00326250" w:rsidP="00E51078">
      <w:pPr>
        <w:spacing w:after="0"/>
        <w:jc w:val="both"/>
        <w:rPr>
          <w:rFonts w:asciiTheme="majorHAnsi" w:hAnsiTheme="majorHAnsi" w:cstheme="majorHAnsi"/>
        </w:rPr>
      </w:pPr>
    </w:p>
    <w:p w14:paraId="6F7666EF"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La presente hipótesis orientó el diseño metodológico del capítulo y constituye el supuesto analítico que guía el ejercicio de integración documental desarrollado en el marco del Pivote Transversal. Su contraste se realiza a partir de la evidencia obtenida durante la implementación del ejercicio metodológico, cuyos resultados permiten valorar el alcance de la integración documental como herramienta para fortalecer la comprensión estratégica del sector minero–energético y apoyar la toma de decisiones institucional. Dicho contraste se desarrolla en los apartados siguientes y se complementa con el análisis detallado contenido en el Anexo 3. Integración Documental Estratégica.</w:t>
      </w:r>
    </w:p>
    <w:p w14:paraId="2C57C733" w14:textId="77777777" w:rsidR="00E51078" w:rsidRPr="00E51078" w:rsidRDefault="00E51078" w:rsidP="00326250">
      <w:pPr>
        <w:pStyle w:val="Ttulo3"/>
      </w:pPr>
      <w:bookmarkStart w:id="285" w:name="_Toc235108076"/>
      <w:r w:rsidRPr="00E51078">
        <w:t>Desarrollo metodológico de la integración documental estratégica</w:t>
      </w:r>
      <w:bookmarkEnd w:id="285"/>
    </w:p>
    <w:p w14:paraId="3E81CA6A"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La integración documental estratégica fue concebida como un ejercicio de análisis orientado a consolidar una lectura transversal de los principales instrumentos que orientan la Transición Energética Justa en Colombia. Para ello se desarrolló un proceso sistemático de identificación, clasificación, comparación e integración de documentos de política pública, instrumentos de planeación, desarrollos regulatorios, documentos técnicos y productos analíticos elaborados en el marco del proyecto.</w:t>
      </w:r>
    </w:p>
    <w:p w14:paraId="143F2B03" w14:textId="77777777" w:rsidR="00326250" w:rsidRPr="00E51078" w:rsidRDefault="00326250" w:rsidP="00E51078">
      <w:pPr>
        <w:spacing w:after="0"/>
        <w:jc w:val="both"/>
        <w:rPr>
          <w:rFonts w:asciiTheme="majorHAnsi" w:hAnsiTheme="majorHAnsi" w:cstheme="majorHAnsi"/>
        </w:rPr>
      </w:pPr>
    </w:p>
    <w:p w14:paraId="5661D826"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El ejercicio metodológico se estructuró a partir de un enfoque de análisis documental estratégico, mediante el cual la información proveniente de diversas fuentes fue organizada en dimensiones analíticas comunes que facilitaron la identificación de convergencias, complementariedades, relaciones funcionales y vacíos de articulación entre los diferentes instrumentos revisados.</w:t>
      </w:r>
    </w:p>
    <w:p w14:paraId="02ADFD47" w14:textId="77777777" w:rsidR="00326250" w:rsidRPr="00E51078" w:rsidRDefault="00326250" w:rsidP="00E51078">
      <w:pPr>
        <w:spacing w:after="0"/>
        <w:jc w:val="both"/>
        <w:rPr>
          <w:rFonts w:asciiTheme="majorHAnsi" w:hAnsiTheme="majorHAnsi" w:cstheme="majorHAnsi"/>
        </w:rPr>
      </w:pPr>
    </w:p>
    <w:p w14:paraId="67DA4D9B"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Como parte de este proceso se definieron criterios de selección documental, dimensiones de análisis, fases de integración y criterios de valoración que permitieron construir una metodología homogénea para el tratamiento de la información y garantizar la comparabilidad entre los distintos documentos incorporados al ejercicio.</w:t>
      </w:r>
    </w:p>
    <w:p w14:paraId="3CE011B9" w14:textId="77777777" w:rsidR="00326250" w:rsidRPr="00E51078" w:rsidRDefault="00326250" w:rsidP="00E51078">
      <w:pPr>
        <w:spacing w:after="0"/>
        <w:jc w:val="both"/>
        <w:rPr>
          <w:rFonts w:asciiTheme="majorHAnsi" w:hAnsiTheme="majorHAnsi" w:cstheme="majorHAnsi"/>
        </w:rPr>
      </w:pPr>
    </w:p>
    <w:p w14:paraId="7B14AB96"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Los resultados obtenidos mediante esta metodología permitieron consolidar una matriz de integración documental estratégica que constituye la base para los análisis desarrollados en el presente capítulo y para la producción de insumos estratégicos institucionales presentada en los capítulos posteriores.</w:t>
      </w:r>
    </w:p>
    <w:p w14:paraId="6307A156"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La descripción metodológica detallada, las matrices de integración, los criterios de análisis y los resultados completos del ejercicio se presentan en el Anexo 3. Integración Documental Estratégica.</w:t>
      </w:r>
    </w:p>
    <w:p w14:paraId="36C54638" w14:textId="77777777" w:rsidR="00326250" w:rsidRPr="00E51078" w:rsidRDefault="00326250" w:rsidP="00E51078">
      <w:pPr>
        <w:spacing w:after="0"/>
        <w:jc w:val="both"/>
        <w:rPr>
          <w:rFonts w:asciiTheme="majorHAnsi" w:hAnsiTheme="majorHAnsi" w:cstheme="majorHAnsi"/>
        </w:rPr>
      </w:pPr>
    </w:p>
    <w:p w14:paraId="4923B45A" w14:textId="77777777" w:rsidR="00E51078" w:rsidRPr="00E51078" w:rsidRDefault="00E51078" w:rsidP="00326250">
      <w:pPr>
        <w:pStyle w:val="Ttulo3"/>
      </w:pPr>
      <w:bookmarkStart w:id="286" w:name="_Toc235108077"/>
      <w:r w:rsidRPr="00E51078">
        <w:t>Hallazgos derivados de la integración documental estratégica</w:t>
      </w:r>
      <w:bookmarkEnd w:id="286"/>
    </w:p>
    <w:p w14:paraId="79CAAAA5"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El ejercicio de integración documental permitió identificar un conjunto de hallazgos que trascienden la revisión individual de los instrumentos analizados y aportan una comprensión más amplia sobre las dinámicas que actualmente configuran la Transición Energética Justa en Colombia. Estos hallazgos constituyen el principal resultado del proceso de integración desarrollado y representan el punto de partida para la construcción de las lecturas estratégicas presentadas en los capítulos siguientes.</w:t>
      </w:r>
    </w:p>
    <w:p w14:paraId="6F0186DB" w14:textId="77777777" w:rsidR="00326250" w:rsidRPr="00E51078" w:rsidRDefault="00326250" w:rsidP="00E51078">
      <w:pPr>
        <w:spacing w:after="0"/>
        <w:jc w:val="both"/>
        <w:rPr>
          <w:rFonts w:asciiTheme="majorHAnsi" w:hAnsiTheme="majorHAnsi" w:cstheme="majorHAnsi"/>
        </w:rPr>
      </w:pPr>
    </w:p>
    <w:p w14:paraId="289F76C5"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Los principales hallazgos corresponden a:</w:t>
      </w:r>
    </w:p>
    <w:p w14:paraId="089C3D1C" w14:textId="77777777" w:rsidR="00326250" w:rsidRPr="00E51078" w:rsidRDefault="00326250" w:rsidP="00E51078">
      <w:pPr>
        <w:spacing w:after="0"/>
        <w:jc w:val="both"/>
        <w:rPr>
          <w:rFonts w:asciiTheme="majorHAnsi" w:hAnsiTheme="majorHAnsi" w:cstheme="majorHAnsi"/>
        </w:rPr>
      </w:pPr>
    </w:p>
    <w:p w14:paraId="6CE110F8" w14:textId="77777777" w:rsidR="00E51078" w:rsidRPr="00E51078" w:rsidRDefault="00E51078" w:rsidP="00721806">
      <w:pPr>
        <w:pStyle w:val="Prrafodelista"/>
        <w:numPr>
          <w:ilvl w:val="2"/>
          <w:numId w:val="61"/>
        </w:numPr>
        <w:spacing w:after="0"/>
        <w:ind w:left="0" w:firstLine="0"/>
        <w:jc w:val="both"/>
        <w:rPr>
          <w:rFonts w:asciiTheme="majorHAnsi" w:hAnsiTheme="majorHAnsi" w:cstheme="majorHAnsi"/>
        </w:rPr>
      </w:pPr>
      <w:r w:rsidRPr="00E51078">
        <w:rPr>
          <w:rFonts w:asciiTheme="majorHAnsi" w:hAnsiTheme="majorHAnsi" w:cstheme="majorHAnsi"/>
        </w:rPr>
        <w:t>Convergencia de prioridades estratégicas para la Transición Energética Justa</w:t>
      </w:r>
    </w:p>
    <w:p w14:paraId="1154E3F8"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 xml:space="preserve">La comparación sistemática de los instrumentos de política pública permitió establecer la existencia de un núcleo de prioridades compartidas que orienta la evolución del sector minero–energético. Aunque estos instrumentos responden a competencias, escalas temporales y propósitos diferentes, convergen en objetivos relacionados con la seguridad energética, la diversificación de la matriz, el fortalecimiento institucional, la sostenibilidad ambiental y la transformación productiva. Esta coincidencia configura una </w:t>
      </w:r>
      <w:r w:rsidRPr="00E51078">
        <w:rPr>
          <w:rFonts w:asciiTheme="majorHAnsi" w:hAnsiTheme="majorHAnsi" w:cstheme="majorHAnsi"/>
        </w:rPr>
        <w:lastRenderedPageBreak/>
        <w:t>base estratégica común que favorece la articulación de políticas y proporciona un marco de referencia para orientar las decisiones institucionales. Su desarrollo metodológico se presenta en el Anexo 3.</w:t>
      </w:r>
    </w:p>
    <w:p w14:paraId="00BA6DE6" w14:textId="77777777" w:rsidR="00326250" w:rsidRPr="00E51078" w:rsidRDefault="00326250" w:rsidP="00E51078">
      <w:pPr>
        <w:spacing w:after="0"/>
        <w:jc w:val="both"/>
        <w:rPr>
          <w:rFonts w:asciiTheme="majorHAnsi" w:hAnsiTheme="majorHAnsi" w:cstheme="majorHAnsi"/>
        </w:rPr>
      </w:pPr>
    </w:p>
    <w:p w14:paraId="0B16CB01" w14:textId="77777777" w:rsidR="00E51078" w:rsidRPr="00E51078" w:rsidRDefault="00E51078" w:rsidP="00721806">
      <w:pPr>
        <w:pStyle w:val="Prrafodelista"/>
        <w:numPr>
          <w:ilvl w:val="2"/>
          <w:numId w:val="61"/>
        </w:numPr>
        <w:spacing w:after="0"/>
        <w:ind w:left="0" w:firstLine="0"/>
        <w:jc w:val="both"/>
        <w:rPr>
          <w:rFonts w:asciiTheme="majorHAnsi" w:hAnsiTheme="majorHAnsi" w:cstheme="majorHAnsi"/>
        </w:rPr>
      </w:pPr>
      <w:r w:rsidRPr="00E51078">
        <w:rPr>
          <w:rFonts w:asciiTheme="majorHAnsi" w:hAnsiTheme="majorHAnsi" w:cstheme="majorHAnsi"/>
        </w:rPr>
        <w:t>Relaciones de interdependencia entre planeación, regulación e implementación sectorial</w:t>
      </w:r>
    </w:p>
    <w:p w14:paraId="04768C8E"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La integración de las diferentes fuentes evidenció que la eficacia de la Transición Energética Justa depende menos de la actuación aislada de cada instrumento que de las relaciones funcionales que se establecen entre ellos. Los procesos de planeación definen orientaciones estratégicas, la regulación crea las condiciones para su desarrollo y las acciones de implementación materializan dichas orientaciones en el territorio. Esta interacción permanente demuestra que la gestión sectorial debe entenderse como un sistema integrado, donde las decisiones adoptadas en un componente generan efectos directos sobre los demás. El análisis ampliado se desarrolla en el Anexo 3.</w:t>
      </w:r>
    </w:p>
    <w:p w14:paraId="52FAE27D" w14:textId="77777777" w:rsidR="00326250" w:rsidRPr="00E51078" w:rsidRDefault="00326250" w:rsidP="00E51078">
      <w:pPr>
        <w:spacing w:after="0"/>
        <w:jc w:val="both"/>
        <w:rPr>
          <w:rFonts w:asciiTheme="majorHAnsi" w:hAnsiTheme="majorHAnsi" w:cstheme="majorHAnsi"/>
        </w:rPr>
      </w:pPr>
    </w:p>
    <w:p w14:paraId="7DCFAEC2" w14:textId="77777777" w:rsidR="00E51078" w:rsidRPr="00E51078" w:rsidRDefault="00E51078" w:rsidP="00721806">
      <w:pPr>
        <w:pStyle w:val="Prrafodelista"/>
        <w:numPr>
          <w:ilvl w:val="2"/>
          <w:numId w:val="61"/>
        </w:numPr>
        <w:spacing w:after="0"/>
        <w:ind w:left="0" w:firstLine="0"/>
        <w:jc w:val="both"/>
        <w:rPr>
          <w:rFonts w:asciiTheme="majorHAnsi" w:hAnsiTheme="majorHAnsi" w:cstheme="majorHAnsi"/>
        </w:rPr>
      </w:pPr>
      <w:r w:rsidRPr="00E51078">
        <w:rPr>
          <w:rFonts w:asciiTheme="majorHAnsi" w:hAnsiTheme="majorHAnsi" w:cstheme="majorHAnsi"/>
        </w:rPr>
        <w:t>Centralidad de la arquitectura institucional como condición habilitante para la transición</w:t>
      </w:r>
    </w:p>
    <w:p w14:paraId="23704CCD"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Uno de los resultados más significativos del ejercicio consiste en reconocer que la arquitectura institucional constituye el principal soporte para la implementación de la Transición Energética Justa. Más allá de la existencia de instrumentos normativos o tecnológicos, la evidencia recopilada muestra que la capacidad para coordinar entidades, integrar información, ejercer liderazgo institucional y articular competencias determina, en gran medida, la viabilidad de los procesos de transformación del sector. En este sentido, el fortalecimiento institucional deja de ser un componente complementario para convertirse en una condición estructural de la transición. Su fundamentación completa se desarrolla en el Anexo 3.</w:t>
      </w:r>
    </w:p>
    <w:p w14:paraId="263F25EC" w14:textId="77777777" w:rsidR="00326250" w:rsidRPr="00E51078" w:rsidRDefault="00326250" w:rsidP="00E51078">
      <w:pPr>
        <w:spacing w:after="0"/>
        <w:jc w:val="both"/>
        <w:rPr>
          <w:rFonts w:asciiTheme="majorHAnsi" w:hAnsiTheme="majorHAnsi" w:cstheme="majorHAnsi"/>
        </w:rPr>
      </w:pPr>
    </w:p>
    <w:p w14:paraId="5F9E9338" w14:textId="77777777" w:rsidR="00E51078" w:rsidRPr="00E51078" w:rsidRDefault="00E51078" w:rsidP="00721806">
      <w:pPr>
        <w:pStyle w:val="Prrafodelista"/>
        <w:numPr>
          <w:ilvl w:val="2"/>
          <w:numId w:val="61"/>
        </w:numPr>
        <w:spacing w:after="0"/>
        <w:ind w:left="0" w:firstLine="0"/>
        <w:jc w:val="both"/>
        <w:rPr>
          <w:rFonts w:asciiTheme="majorHAnsi" w:hAnsiTheme="majorHAnsi" w:cstheme="majorHAnsi"/>
        </w:rPr>
      </w:pPr>
      <w:r w:rsidRPr="00E51078">
        <w:rPr>
          <w:rFonts w:asciiTheme="majorHAnsi" w:hAnsiTheme="majorHAnsi" w:cstheme="majorHAnsi"/>
        </w:rPr>
        <w:t>Emergencia de nuevas agendas de transformación del sector minero–energético</w:t>
      </w:r>
    </w:p>
    <w:p w14:paraId="6182A5EE"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La revisión de los instrumentos más recientes permitió identificar un proceso de renovación progresiva de las prioridades sectoriales. Temáticas como el hidrógeno, las comunidades energéticas, el almacenamiento, la digitalización, la innovación tecnológica y los nuevos esquemas de participación comienzan a ocupar un lugar cada vez más relevante dentro de la agenda institucional. Este comportamiento evidencia que la Transición Energética Justa es un proceso dinámico, cuya evolución demanda capacidades de adaptación permanente frente a los cambios tecnológicos, regulatorios y sociales que caracterizan al sector. El detalle de estas tendencias se presenta en el Anexo 3.</w:t>
      </w:r>
    </w:p>
    <w:p w14:paraId="6C248C73" w14:textId="77777777" w:rsidR="00326250" w:rsidRPr="00E51078" w:rsidRDefault="00326250" w:rsidP="00E51078">
      <w:pPr>
        <w:spacing w:after="0"/>
        <w:jc w:val="both"/>
        <w:rPr>
          <w:rFonts w:asciiTheme="majorHAnsi" w:hAnsiTheme="majorHAnsi" w:cstheme="majorHAnsi"/>
        </w:rPr>
      </w:pPr>
    </w:p>
    <w:p w14:paraId="512D14AF" w14:textId="77777777" w:rsidR="00E51078" w:rsidRPr="00E51078" w:rsidRDefault="00E51078" w:rsidP="00721806">
      <w:pPr>
        <w:pStyle w:val="Prrafodelista"/>
        <w:numPr>
          <w:ilvl w:val="2"/>
          <w:numId w:val="61"/>
        </w:numPr>
        <w:spacing w:after="0"/>
        <w:ind w:left="0" w:firstLine="0"/>
        <w:jc w:val="both"/>
        <w:rPr>
          <w:rFonts w:asciiTheme="majorHAnsi" w:hAnsiTheme="majorHAnsi" w:cstheme="majorHAnsi"/>
        </w:rPr>
      </w:pPr>
      <w:r w:rsidRPr="00E51078">
        <w:rPr>
          <w:rFonts w:asciiTheme="majorHAnsi" w:hAnsiTheme="majorHAnsi" w:cstheme="majorHAnsi"/>
        </w:rPr>
        <w:t>Necesidad de fortalecer mecanismos permanentes de integración documental y gestión del conocimiento</w:t>
      </w:r>
    </w:p>
    <w:p w14:paraId="497F4F9F"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La diversidad y dispersión de la información estratégica producida por el sector ponen de manifiesto la necesidad de avanzar hacia mecanismos institucionales que aseguren su organización, actualización y aprovechamiento sistemático. La integración documental desarrollada en este ejercicio demuestra que la generación de conocimiento no depende exclusivamente de producir nueva información, sino de la capacidad para relacionar, interpretar y reutilizar la ya existente. Bajo esta perspectiva, la gestión del conocimiento se consolida como un componente estratégico para fortalecer la memoria institucional, mejorar la continuidad analítica y apoyar la toma de decisiones en el mediano y largo plazo. Este hallazgo constituye, además, el punto de articulación con el desarrollo del Capítulo 12 y con el Anexo 3.</w:t>
      </w:r>
    </w:p>
    <w:p w14:paraId="341E5CA1" w14:textId="77777777" w:rsidR="00326250" w:rsidRPr="00E51078" w:rsidRDefault="00326250" w:rsidP="00E51078">
      <w:pPr>
        <w:spacing w:after="0"/>
        <w:jc w:val="both"/>
        <w:rPr>
          <w:rFonts w:asciiTheme="majorHAnsi" w:hAnsiTheme="majorHAnsi" w:cstheme="majorHAnsi"/>
        </w:rPr>
      </w:pPr>
    </w:p>
    <w:p w14:paraId="0BD46C7A"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El desarrollo analítico de cada uno de estos hallazgos se presenta de manera detallada en el Anexo 3, mientras que en el presente documento se retoman aquellos elementos que resultan estratégicos para comprender la arquitectura general del Pivote Transversal y fortalecer la producción de conocimiento institucional.</w:t>
      </w:r>
    </w:p>
    <w:p w14:paraId="6F522B95" w14:textId="77777777" w:rsidR="00326250" w:rsidRPr="00E51078" w:rsidRDefault="00326250" w:rsidP="00E51078">
      <w:pPr>
        <w:spacing w:after="0"/>
        <w:jc w:val="both"/>
        <w:rPr>
          <w:rFonts w:asciiTheme="majorHAnsi" w:hAnsiTheme="majorHAnsi" w:cstheme="majorHAnsi"/>
        </w:rPr>
      </w:pPr>
    </w:p>
    <w:p w14:paraId="3E5ED3DD" w14:textId="77777777" w:rsidR="00E51078" w:rsidRPr="00E51078" w:rsidRDefault="00E51078" w:rsidP="00326250">
      <w:pPr>
        <w:pStyle w:val="Ttulo2"/>
      </w:pPr>
      <w:bookmarkStart w:id="287" w:name="_Toc235108078"/>
      <w:r w:rsidRPr="00E51078">
        <w:t>Discusión e implicaciones estratégicas</w:t>
      </w:r>
      <w:bookmarkEnd w:id="287"/>
    </w:p>
    <w:p w14:paraId="56F28BF1"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Los hallazgos obtenidos evidencian que la integración documental constituye un mecanismo eficaz para superar la fragmentación analítica tradicional del sector minero–energético y construir una comprensión más amplia de las relaciones existentes entre los distintos instrumentos que orientan la Transición Energética Justa.</w:t>
      </w:r>
    </w:p>
    <w:p w14:paraId="31EF8168" w14:textId="77777777" w:rsidR="00326250" w:rsidRPr="00E51078" w:rsidRDefault="00326250" w:rsidP="00E51078">
      <w:pPr>
        <w:spacing w:after="0"/>
        <w:jc w:val="both"/>
        <w:rPr>
          <w:rFonts w:asciiTheme="majorHAnsi" w:hAnsiTheme="majorHAnsi" w:cstheme="majorHAnsi"/>
        </w:rPr>
      </w:pPr>
    </w:p>
    <w:p w14:paraId="4C4438FD"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 xml:space="preserve">Más allá de identificar coincidencias temáticas, el ejercicio permitió reconocer patrones de articulación institucional, relaciones funcionales entre instrumentos de política pública, capacidades compartidas y nuevas agendas que comienzan a reconfigurar el sector. En consecuencia, la integración documental no solo fortalece la capacidad institucional para interpretar información compleja, sino que también </w:t>
      </w:r>
      <w:r w:rsidRPr="00E51078">
        <w:rPr>
          <w:rFonts w:asciiTheme="majorHAnsi" w:hAnsiTheme="majorHAnsi" w:cstheme="majorHAnsi"/>
        </w:rPr>
        <w:lastRenderedPageBreak/>
        <w:t>proporciona una base metodológica para la construcción de insumos estratégicos orientados a la toma de decisiones.</w:t>
      </w:r>
    </w:p>
    <w:p w14:paraId="704B2350" w14:textId="77777777" w:rsidR="00326250" w:rsidRPr="00E51078" w:rsidRDefault="00326250" w:rsidP="00E51078">
      <w:pPr>
        <w:spacing w:after="0"/>
        <w:jc w:val="both"/>
        <w:rPr>
          <w:rFonts w:asciiTheme="majorHAnsi" w:hAnsiTheme="majorHAnsi" w:cstheme="majorHAnsi"/>
        </w:rPr>
      </w:pPr>
    </w:p>
    <w:p w14:paraId="0D96B95D" w14:textId="77777777" w:rsidR="00326250" w:rsidRPr="00E51078" w:rsidRDefault="00E51078" w:rsidP="00E51078">
      <w:pPr>
        <w:spacing w:after="0"/>
        <w:jc w:val="both"/>
        <w:rPr>
          <w:rFonts w:asciiTheme="majorHAnsi" w:hAnsiTheme="majorHAnsi" w:cstheme="majorHAnsi"/>
        </w:rPr>
      </w:pPr>
      <w:r w:rsidRPr="00E51078">
        <w:rPr>
          <w:rFonts w:asciiTheme="majorHAnsi" w:hAnsiTheme="majorHAnsi" w:cstheme="majorHAnsi"/>
        </w:rPr>
        <w:t>En este sentido, los resultados obtenidos constituyen un insumo fundamental para el desarrollo de los ejercicios de caracterización estratégica, producción de insumos institucionales y gestión del conocimiento, consolidando la integración documental como uno de los componentes estructurales del Pivote Transversal.</w:t>
      </w:r>
    </w:p>
    <w:p w14:paraId="6A51DDA7" w14:textId="77777777" w:rsidR="00E51078" w:rsidRPr="00E51078" w:rsidRDefault="00E51078" w:rsidP="00326250">
      <w:pPr>
        <w:pStyle w:val="Ttulo2"/>
      </w:pPr>
      <w:bookmarkStart w:id="288" w:name="_Toc235108079"/>
      <w:r w:rsidRPr="00E51078">
        <w:t>Conclusiones del capítulo</w:t>
      </w:r>
      <w:bookmarkEnd w:id="288"/>
    </w:p>
    <w:p w14:paraId="61B14AB3"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La implementación del ejercicio de integración documental estratégica permitió consolidar una metodología para analizar de manera articulada instrumentos de política pública, regulación, planeación y producción técnica del sector minero–energético, fortaleciendo la comprensión institucional de la Transición Energética Justa.</w:t>
      </w:r>
    </w:p>
    <w:p w14:paraId="698B989B" w14:textId="77777777" w:rsidR="00326250" w:rsidRPr="00E51078" w:rsidRDefault="00326250" w:rsidP="00E51078">
      <w:pPr>
        <w:spacing w:after="0"/>
        <w:jc w:val="both"/>
        <w:rPr>
          <w:rFonts w:asciiTheme="majorHAnsi" w:hAnsiTheme="majorHAnsi" w:cstheme="majorHAnsi"/>
        </w:rPr>
      </w:pPr>
    </w:p>
    <w:p w14:paraId="2B6A5B82"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Los hallazgos obtenidos evidencian la existencia de convergencias estratégicas, relaciones de interdependencia y desafíos institucionales que difícilmente podrían identificarse mediante aproximaciones sectoriales independientes, confirmando la utilidad de la integración documental como herramienta para fortalecer el análisis estratégico del Ministerio de Minas y Energía.</w:t>
      </w:r>
    </w:p>
    <w:p w14:paraId="2A4564F7" w14:textId="77777777" w:rsidR="00326250" w:rsidRPr="00E51078" w:rsidRDefault="00E51078" w:rsidP="00E51078">
      <w:pPr>
        <w:spacing w:after="0"/>
        <w:jc w:val="both"/>
        <w:rPr>
          <w:rFonts w:asciiTheme="majorHAnsi" w:hAnsiTheme="majorHAnsi" w:cstheme="majorHAnsi"/>
        </w:rPr>
      </w:pPr>
      <w:r w:rsidRPr="00E51078">
        <w:rPr>
          <w:rFonts w:asciiTheme="majorHAnsi" w:hAnsiTheme="majorHAnsi" w:cstheme="majorHAnsi"/>
        </w:rPr>
        <w:t>En consecuencia, la evidencia obtenida permite respaldar la hipótesis de trabajo planteada al inicio del capítulo y constituye el punto de partida para el desarrollo de los capítulos relacionados con la caracterización estratégica de actores, la producción de insumos estratégicos institucionales y la gestión del conocimiento.</w:t>
      </w:r>
    </w:p>
    <w:p w14:paraId="433F304C" w14:textId="77777777" w:rsidR="00E51078" w:rsidRPr="00E51078" w:rsidRDefault="00E51078" w:rsidP="00A86834">
      <w:pPr>
        <w:pStyle w:val="Ttulo1"/>
      </w:pPr>
      <w:bookmarkStart w:id="289" w:name="_Toc235108080"/>
      <w:r w:rsidRPr="00E51078">
        <w:t>Capítulo 2 Caracterización estratégica de actores</w:t>
      </w:r>
      <w:bookmarkEnd w:id="289"/>
    </w:p>
    <w:p w14:paraId="6A2CA1E8" w14:textId="77777777" w:rsidR="00E51078" w:rsidRPr="00E51078" w:rsidRDefault="00E51078" w:rsidP="00326250">
      <w:pPr>
        <w:pStyle w:val="Ttulo2"/>
      </w:pPr>
      <w:bookmarkStart w:id="290" w:name="_Toc235108081"/>
      <w:r w:rsidRPr="00E51078">
        <w:t>Introducción</w:t>
      </w:r>
      <w:bookmarkEnd w:id="290"/>
    </w:p>
    <w:p w14:paraId="4D4C3A5D"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 xml:space="preserve">La implementación de la Transición Energética Justa (TEJ) se desarrolla en un entorno caracterizado por la interacción permanente entre instituciones públicas, empresas, organizaciones sociales, comunidades, </w:t>
      </w:r>
      <w:r w:rsidRPr="00E51078">
        <w:rPr>
          <w:rFonts w:asciiTheme="majorHAnsi" w:hAnsiTheme="majorHAnsi" w:cstheme="majorHAnsi"/>
          <w:sz w:val="22"/>
          <w:szCs w:val="22"/>
        </w:rPr>
        <w:lastRenderedPageBreak/>
        <w:t>centros de investigación, organismos de cooperación y demás grupos de valor que participan, desde diferentes ámbitos de competencia, en la transformación del sector minero–energético. Esta diversidad de actores configura un ecosistema institucional complejo, en el que convergen intereses, capacidades, responsabilidades y niveles de incidencia que influyen directamente sobre la formulación, implementación y seguimiento de las políticas sectoriales.</w:t>
      </w:r>
    </w:p>
    <w:p w14:paraId="0067F002"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2E6F379F"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En este contexto, la caracterización estratégica de actores constituye una herramienta de análisis orientada a comprender la estructura y el funcionamiento de dicho ecosistema, superando enfoques centrados exclusivamente en la identificación de entidades o en la descripción de sus competencias. El propósito consiste en reconocer cómo se articulan los diferentes actores, cuáles son sus capacidades de incidencia, qué relaciones establecen entre sí y de qué manera estas dinámicas condicionan la implementación de la Transición Energética Justa.</w:t>
      </w:r>
    </w:p>
    <w:p w14:paraId="7BB59FC2"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01BECB45"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Como parte del desarrollo metodológico del Pivote Transversal se avanzó en la identificación, clasificación y análisis de actores estratégicos y grupos de valor, integrando información proveniente de los ejercicios sectoriales, la revisión documental y los procesos de relacionamiento institucional desarrollados durante la ejecución del proyecto. Los resultados obtenidos constituyen una primera aproximación al ecosistema institucional de la Transición Energética Justa y proporcionan insumos para fortalecer la producción de análisis estratégicos orientados a la toma de decisiones. El desarrollo metodológico y los resultados detallados del ejercicio se presentan en el Anexo 1. Caracterización Estratégica de Actores.</w:t>
      </w:r>
    </w:p>
    <w:p w14:paraId="0F88B7DD"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0B0249B2" w14:textId="77777777" w:rsidR="00E51078" w:rsidRPr="00E51078" w:rsidRDefault="00E51078" w:rsidP="00326250">
      <w:pPr>
        <w:pStyle w:val="Ttulo3"/>
      </w:pPr>
      <w:bookmarkStart w:id="291" w:name="_Toc235108082"/>
      <w:r w:rsidRPr="00E51078">
        <w:t>Pregunta orientadora del capítulo</w:t>
      </w:r>
      <w:bookmarkEnd w:id="291"/>
    </w:p>
    <w:p w14:paraId="71D1E2D0"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¿Cómo comprender la configuración del ecosistema de actores y grupos de valor que intervienen en la implementación de la Transición Energética Justa y cuáles son sus implicaciones para la gestión institucional del sector minero–energético?</w:t>
      </w:r>
    </w:p>
    <w:p w14:paraId="1BF74BC3" w14:textId="77777777" w:rsidR="00E51078" w:rsidRPr="00E51078" w:rsidRDefault="00E51078" w:rsidP="00326250">
      <w:pPr>
        <w:pStyle w:val="Ttulo3"/>
      </w:pPr>
      <w:bookmarkStart w:id="292" w:name="_Toc235108083"/>
      <w:r w:rsidRPr="00E51078">
        <w:lastRenderedPageBreak/>
        <w:t>Hipótesis de trabajo</w:t>
      </w:r>
      <w:bookmarkEnd w:id="292"/>
    </w:p>
    <w:p w14:paraId="7922379A"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La caracterización estratégica de actores permitirá comprender las relaciones de incidencia, cooperación, complementariedad y coordinación existentes entre las instituciones, organizaciones y grupos de valor vinculados a la Transición Energética Justa, fortaleciendo la capacidad institucional para orientar procesos de articulación, priorización y toma de decisiones.</w:t>
      </w:r>
    </w:p>
    <w:p w14:paraId="30BBFEE4"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372E32B1"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La presente hipótesis orientó el desarrollo metodológico del capítulo y constituye el supuesto analítico que sustentó el ejercicio de caracterización realizado en el marco del Pivote Transversal. Su contraste se fundamenta en la evidencia obtenida durante la identificación y análisis de actores estratégicos, permitiendo valorar el aporte de este tipo de herramientas para comprender la gobernanza institucional de la Transición Energética Justa. El análisis detallado se desarrolla en el Anexo 1. Caracterización Estratégica de Actores.</w:t>
      </w:r>
    </w:p>
    <w:p w14:paraId="025B7D2E"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0ADE0F20" w14:textId="77777777" w:rsidR="00E51078" w:rsidRPr="00E51078" w:rsidRDefault="00E51078" w:rsidP="00326250">
      <w:pPr>
        <w:pStyle w:val="Ttulo3"/>
      </w:pPr>
      <w:bookmarkStart w:id="293" w:name="_Toc235108084"/>
      <w:r w:rsidRPr="00E51078">
        <w:t>Desarrollo metodológico de la caracterización estratégica de actores</w:t>
      </w:r>
      <w:bookmarkEnd w:id="293"/>
    </w:p>
    <w:p w14:paraId="03F70810"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La caracterización estratégica de actores se desarrolló mediante un proceso sistemático de identificación, clasificación y análisis de los principales actores y grupos de valor vinculados con la implementación de la Transición Energética Justa. El ejercicio integró información procedente de los documentos sectoriales elaborados en el proyecto, fuentes institucionales, instrumentos de política pública, ejercicios de revisión documental y procesos de interacción con actores relevantes del sector.</w:t>
      </w:r>
    </w:p>
    <w:p w14:paraId="36FCF238"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20E52391"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La metodología adoptada permitió clasificar los actores de acuerdo con variables relacionadas con su naturaleza institucional, ámbito de actuación, nivel de incidencia, capacidad de decisión, funciones estratégicas y relaciones de interacción con otros actores del ecosistema. Este enfoque facilitó el tránsito desde una visión descriptiva hacia una lectura estratégica de las dinámicas institucionales que caracterizan la implementación de la Transición Energética Justa.</w:t>
      </w:r>
    </w:p>
    <w:p w14:paraId="119240BA"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32C9EB40"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 xml:space="preserve">Como resultado del ejercicio se consolidó una matriz de caracterización estratégica que identifica los principales actores, sus relaciones funcionales y los espacios de interacción que configuran el ecosistema </w:t>
      </w:r>
      <w:r w:rsidRPr="00E51078">
        <w:rPr>
          <w:rFonts w:asciiTheme="majorHAnsi" w:hAnsiTheme="majorHAnsi" w:cstheme="majorHAnsi"/>
          <w:sz w:val="22"/>
          <w:szCs w:val="22"/>
        </w:rPr>
        <w:lastRenderedPageBreak/>
        <w:t>institucional del sector minero–energético. Dicha matriz constituye uno de los insumos para la construcción de las lecturas estratégicas desarrolladas en el capítulo siguiente.</w:t>
      </w:r>
    </w:p>
    <w:p w14:paraId="0752BB43"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0BE6B7FC"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La metodología detallada, los criterios de clasificación, las matrices de análisis y los resultados completos del ejercicio se presentan en el Anexo 1. Caracterización Estratégica de Actores.</w:t>
      </w:r>
    </w:p>
    <w:p w14:paraId="2D2CEC54"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2F732BAE" w14:textId="77777777" w:rsidR="00E51078" w:rsidRPr="00E51078" w:rsidRDefault="00E51078" w:rsidP="00326250">
      <w:pPr>
        <w:pStyle w:val="Ttulo2"/>
      </w:pPr>
      <w:bookmarkStart w:id="294" w:name="_Toc235108085"/>
      <w:r w:rsidRPr="00E51078">
        <w:t>Hallazgos derivados de la caracterización estratégica de actores</w:t>
      </w:r>
      <w:bookmarkEnd w:id="294"/>
    </w:p>
    <w:p w14:paraId="705F91E4"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La caracterización estratégica permitió comprender el funcionamiento del ecosistema institucional asociado a la Transición Energética Justa, identificando patrones de organización, relaciones de incidencia y capacidades que trascienden la simple identificación de actores. Los principales hallazgos obtenidos se presentan a continuación.</w:t>
      </w:r>
    </w:p>
    <w:p w14:paraId="1D6CD64F"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73665F8D" w14:textId="77777777" w:rsidR="00E51078" w:rsidRPr="00E51078" w:rsidRDefault="00E51078" w:rsidP="00721806">
      <w:pPr>
        <w:pStyle w:val="Ttulo3"/>
        <w:numPr>
          <w:ilvl w:val="2"/>
          <w:numId w:val="61"/>
        </w:numPr>
        <w:tabs>
          <w:tab w:val="num" w:pos="2160"/>
        </w:tabs>
        <w:spacing w:before="0" w:after="0"/>
        <w:ind w:left="0" w:firstLine="0"/>
        <w:jc w:val="both"/>
        <w:rPr>
          <w:rFonts w:asciiTheme="majorHAnsi" w:hAnsiTheme="majorHAnsi" w:cstheme="majorHAnsi"/>
          <w:b w:val="0"/>
          <w:bCs w:val="0"/>
          <w:sz w:val="22"/>
          <w:szCs w:val="22"/>
        </w:rPr>
      </w:pPr>
      <w:bookmarkStart w:id="295" w:name="_Toc235108086"/>
      <w:r w:rsidRPr="00E51078">
        <w:rPr>
          <w:rFonts w:asciiTheme="majorHAnsi" w:hAnsiTheme="majorHAnsi" w:cstheme="majorHAnsi"/>
          <w:b w:val="0"/>
          <w:bCs w:val="0"/>
          <w:sz w:val="22"/>
          <w:szCs w:val="22"/>
        </w:rPr>
        <w:t>Configuración de un ecosistema institucional de alta complejidad</w:t>
      </w:r>
      <w:bookmarkEnd w:id="295"/>
    </w:p>
    <w:p w14:paraId="396C8FAC"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El análisis evidenció que la implementación de la Transición Energética Justa se desarrolla mediante un entramado institucional conformado por actores con competencias regulatorias, técnicas, territoriales, ambientales, económicas y sociales que interactúan de manera permanente. Esta configuración refleja la naturaleza multidimensional de la transición y confirma que su implementación depende de la articulación de capacidades provenientes de distintos sectores de la administración pública, el sector productivo, la academia y la sociedad civil. La comprensión de este ecosistema constituye una condición necesaria para orientar procesos de coordinación y fortalecer la gobernanza institucional. El desarrollo detallado de este hallazgo se presenta en el Anexo 1.</w:t>
      </w:r>
    </w:p>
    <w:p w14:paraId="14D07F3F"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1DAE4B7C" w14:textId="77777777" w:rsidR="00E51078" w:rsidRPr="00E51078" w:rsidRDefault="00E51078" w:rsidP="00721806">
      <w:pPr>
        <w:pStyle w:val="Ttulo3"/>
        <w:numPr>
          <w:ilvl w:val="2"/>
          <w:numId w:val="61"/>
        </w:numPr>
        <w:tabs>
          <w:tab w:val="num" w:pos="2160"/>
        </w:tabs>
        <w:spacing w:before="0" w:after="0"/>
        <w:ind w:left="0" w:firstLine="0"/>
        <w:jc w:val="both"/>
        <w:rPr>
          <w:rFonts w:asciiTheme="majorHAnsi" w:hAnsiTheme="majorHAnsi" w:cstheme="majorHAnsi"/>
          <w:b w:val="0"/>
          <w:bCs w:val="0"/>
          <w:sz w:val="22"/>
          <w:szCs w:val="22"/>
        </w:rPr>
      </w:pPr>
      <w:bookmarkStart w:id="296" w:name="_Toc235108087"/>
      <w:r w:rsidRPr="00E51078">
        <w:rPr>
          <w:rFonts w:asciiTheme="majorHAnsi" w:hAnsiTheme="majorHAnsi" w:cstheme="majorHAnsi"/>
          <w:b w:val="0"/>
          <w:bCs w:val="0"/>
          <w:sz w:val="22"/>
          <w:szCs w:val="22"/>
        </w:rPr>
        <w:t>Diferenciación funcional de los niveles de incidencia</w:t>
      </w:r>
      <w:bookmarkEnd w:id="296"/>
    </w:p>
    <w:p w14:paraId="4292A558"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 xml:space="preserve">La evidencia recopilada permitió establecer que los actores desempeñan funciones claramente diferenciadas dentro del proceso de transición. Mientras algunos concentran capacidades de dirección, regulación y formulación de política pública, otros desarrollan funciones relacionadas con la implementación territorial, la producción de conocimiento, el acompañamiento técnico o la representación de intereses colectivos. Esta diferenciación evidencia que la capacidad de incidencia no </w:t>
      </w:r>
      <w:r w:rsidRPr="00E51078">
        <w:rPr>
          <w:rFonts w:asciiTheme="majorHAnsi" w:hAnsiTheme="majorHAnsi" w:cstheme="majorHAnsi"/>
          <w:sz w:val="22"/>
          <w:szCs w:val="22"/>
        </w:rPr>
        <w:lastRenderedPageBreak/>
        <w:t>depende únicamente de las competencias legales asignadas, sino también de la posición que cada actor ocupa dentro de la red institucional y de su capacidad para generar procesos de articulación. El análisis ampliado se presenta en el Anexo 1.</w:t>
      </w:r>
    </w:p>
    <w:p w14:paraId="0EDDFDE2"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75618391" w14:textId="77777777" w:rsidR="00E51078" w:rsidRPr="00E51078" w:rsidRDefault="00E51078" w:rsidP="00721806">
      <w:pPr>
        <w:pStyle w:val="Ttulo3"/>
        <w:numPr>
          <w:ilvl w:val="2"/>
          <w:numId w:val="61"/>
        </w:numPr>
        <w:tabs>
          <w:tab w:val="num" w:pos="2160"/>
        </w:tabs>
        <w:spacing w:before="0" w:after="0"/>
        <w:ind w:left="0" w:firstLine="0"/>
        <w:jc w:val="both"/>
        <w:rPr>
          <w:rFonts w:asciiTheme="majorHAnsi" w:hAnsiTheme="majorHAnsi" w:cstheme="majorHAnsi"/>
          <w:b w:val="0"/>
          <w:bCs w:val="0"/>
          <w:sz w:val="22"/>
          <w:szCs w:val="22"/>
        </w:rPr>
      </w:pPr>
      <w:bookmarkStart w:id="297" w:name="_Toc235108088"/>
      <w:r w:rsidRPr="00E51078">
        <w:rPr>
          <w:rFonts w:asciiTheme="majorHAnsi" w:hAnsiTheme="majorHAnsi" w:cstheme="majorHAnsi"/>
          <w:b w:val="0"/>
          <w:bCs w:val="0"/>
          <w:sz w:val="22"/>
          <w:szCs w:val="22"/>
        </w:rPr>
        <w:t>Ampliación progresiva de los grupos de valor</w:t>
      </w:r>
      <w:bookmarkEnd w:id="297"/>
    </w:p>
    <w:p w14:paraId="390141EB"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La evolución reciente de la Transición Energética Justa muestra una incorporación creciente de actores que tradicionalmente no hacían parte de la gestión del sector minero–energético. Comunidades, organizaciones sociales, autoridades territoriales, centros de investigación, organismos internacionales y representantes del sector empresarial participan cada vez con mayor intensidad en los procesos de formulación, implementación y seguimiento de las políticas públicas. Esta ampliación del ecosistema institucional fortalece la diversidad de perspectivas disponibles para la toma de decisiones, pero al mismo tiempo incrementa la necesidad de construir mecanismos eficaces de diálogo, concertación y gestión de intereses. El desarrollo correspondiente se presenta en el Anexo 1.</w:t>
      </w:r>
    </w:p>
    <w:p w14:paraId="004AB21C"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4C9F9890" w14:textId="77777777" w:rsidR="00E51078" w:rsidRPr="00E51078" w:rsidRDefault="00E51078" w:rsidP="00721806">
      <w:pPr>
        <w:pStyle w:val="Ttulo3"/>
        <w:numPr>
          <w:ilvl w:val="2"/>
          <w:numId w:val="61"/>
        </w:numPr>
        <w:tabs>
          <w:tab w:val="num" w:pos="2160"/>
        </w:tabs>
        <w:spacing w:before="0" w:after="0"/>
        <w:ind w:left="0" w:firstLine="0"/>
        <w:jc w:val="both"/>
        <w:rPr>
          <w:rFonts w:asciiTheme="majorHAnsi" w:hAnsiTheme="majorHAnsi" w:cstheme="majorHAnsi"/>
          <w:b w:val="0"/>
          <w:bCs w:val="0"/>
          <w:sz w:val="22"/>
          <w:szCs w:val="22"/>
        </w:rPr>
      </w:pPr>
      <w:bookmarkStart w:id="298" w:name="_Toc235108089"/>
      <w:r w:rsidRPr="00E51078">
        <w:rPr>
          <w:rFonts w:asciiTheme="majorHAnsi" w:hAnsiTheme="majorHAnsi" w:cstheme="majorHAnsi"/>
          <w:b w:val="0"/>
          <w:bCs w:val="0"/>
          <w:sz w:val="22"/>
          <w:szCs w:val="22"/>
        </w:rPr>
        <w:t>La articulación institucional como capacidad estratégica</w:t>
      </w:r>
      <w:bookmarkEnd w:id="298"/>
    </w:p>
    <w:p w14:paraId="21ACB597"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Uno de los principales aportes del ejercicio consiste en reconocer que la articulación entre actores constituye una capacidad institucional en sí misma. La existencia de competencias concurrentes, responsabilidades compartidas y procesos de decisión interdependientes exige fortalecer mecanismos permanentes de coordinación que permitan integrar información, armonizar prioridades y construir respuestas institucionales coherentes frente a los desafíos asociados a la Transición Energética Justa. Bajo esta perspectiva, la calidad de las relaciones institucionales adquiere una importancia equivalente a la capacidad técnica de cada actor individual. El desarrollo metodológico se presenta en el Anexo 1.</w:t>
      </w:r>
    </w:p>
    <w:p w14:paraId="79BF2B95"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35F7E924" w14:textId="77777777" w:rsidR="00E51078" w:rsidRPr="00E51078" w:rsidRDefault="00E51078" w:rsidP="00721806">
      <w:pPr>
        <w:pStyle w:val="Ttulo3"/>
        <w:numPr>
          <w:ilvl w:val="2"/>
          <w:numId w:val="61"/>
        </w:numPr>
        <w:tabs>
          <w:tab w:val="num" w:pos="2160"/>
        </w:tabs>
        <w:spacing w:before="0" w:after="0"/>
        <w:ind w:left="0" w:firstLine="0"/>
        <w:jc w:val="both"/>
        <w:rPr>
          <w:rFonts w:asciiTheme="majorHAnsi" w:hAnsiTheme="majorHAnsi" w:cstheme="majorHAnsi"/>
          <w:b w:val="0"/>
          <w:bCs w:val="0"/>
          <w:sz w:val="22"/>
          <w:szCs w:val="22"/>
        </w:rPr>
      </w:pPr>
      <w:bookmarkStart w:id="299" w:name="_Toc235108090"/>
      <w:r w:rsidRPr="00E51078">
        <w:rPr>
          <w:rFonts w:asciiTheme="majorHAnsi" w:hAnsiTheme="majorHAnsi" w:cstheme="majorHAnsi"/>
          <w:b w:val="0"/>
          <w:bCs w:val="0"/>
          <w:sz w:val="22"/>
          <w:szCs w:val="22"/>
        </w:rPr>
        <w:t>Territorialización del ecosistema institucional</w:t>
      </w:r>
      <w:bookmarkEnd w:id="299"/>
    </w:p>
    <w:p w14:paraId="02B7E738"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 xml:space="preserve">El análisis permitió identificar que las relaciones entre los actores se configuran de manera diferenciada según las condiciones propias de cada territorio. Las capacidades institucionales locales, las características productivas, las dinámicas sociales, la presencia de actores estratégicos e, incluso, las condiciones de gobernanza territorial modifican la forma en que se desarrollan los procesos de coordinación y materialización de las políticas sectoriales. Esta evidencia reafirma la necesidad de incorporar el territorio </w:t>
      </w:r>
      <w:r w:rsidRPr="00E51078">
        <w:rPr>
          <w:rFonts w:asciiTheme="majorHAnsi" w:hAnsiTheme="majorHAnsi" w:cstheme="majorHAnsi"/>
          <w:sz w:val="22"/>
          <w:szCs w:val="22"/>
        </w:rPr>
        <w:lastRenderedPageBreak/>
        <w:t>como una dimensión transversal del análisis institucional y constituye un punto de articulación con la producción de insumos estratégicos desarrollada en el capítulo siguiente. El análisis ampliado se presenta en el Anexo 1.</w:t>
      </w:r>
    </w:p>
    <w:p w14:paraId="642DFA5A"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52EA3294" w14:textId="77777777" w:rsidR="00E51078" w:rsidRPr="00E51078" w:rsidRDefault="00E51078" w:rsidP="00326250">
      <w:pPr>
        <w:pStyle w:val="Ttulo2"/>
      </w:pPr>
      <w:bookmarkStart w:id="300" w:name="_Toc235108091"/>
      <w:r w:rsidRPr="00E51078">
        <w:t>Discusión e implicaciones estratégicas</w:t>
      </w:r>
      <w:bookmarkEnd w:id="300"/>
    </w:p>
    <w:p w14:paraId="7DA3271C"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Los resultados obtenidos permiten interpretar la Transición Energética Justa como un proceso de gobernanza multinivel en el que confluyen actores con capacidades, competencias e intereses diferenciados. En consecuencia, la eficacia de las políticas sectoriales no depende exclusivamente de la calidad técnica de los instrumentos de planeación o regulación, sino también de la capacidad institucional para construir relaciones de cooperación, gestionar escenarios de coordinación y facilitar procesos de decisión compartidos.</w:t>
      </w:r>
    </w:p>
    <w:p w14:paraId="77206B15"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31B90608"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Desde esta perspectiva, la caracterización estratégica desarrollada por el Pivote Transversal constituye una herramienta para fortalecer la comprensión del entorno institucional del sector, identificar capacidades críticas, reconocer oportunidades de articulación y anticipar posibles desafíos asociados a la implementación de la Transición Energética Justa. Estos elementos proporcionan una base analítica para la construcción de los insumos estratégicos institucionales desarrollados en el capítulo siguiente.</w:t>
      </w:r>
    </w:p>
    <w:p w14:paraId="22292F0F"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20FF173C" w14:textId="77777777" w:rsidR="00E51078" w:rsidRPr="00E51078" w:rsidRDefault="00E51078" w:rsidP="00326250">
      <w:pPr>
        <w:pStyle w:val="Ttulo2"/>
      </w:pPr>
      <w:bookmarkStart w:id="301" w:name="_Toc235108092"/>
      <w:r w:rsidRPr="00E51078">
        <w:t>Conclusiones del capítulo</w:t>
      </w:r>
      <w:bookmarkEnd w:id="301"/>
    </w:p>
    <w:p w14:paraId="752B28E4"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La caracterización estratégica de actores permitió consolidar una lectura integral del ecosistema institucional que soporta la implementación de la Transición Energética Justa, superando aproximaciones centradas exclusivamente en la identificación de competencias o funciones institucionales.</w:t>
      </w:r>
    </w:p>
    <w:p w14:paraId="13CCB9B4"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2FFCE012"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Los hallazgos obtenidos evidencian que la gobernanza de la transición depende de la interacción permanente entre actores con diferentes niveles de incidencia, capacidades y responsabilidades, así como de la posibilidad de fortalecer mecanismos de coordinación que favorezcan la articulación institucional y la gestión de intereses convergentes.</w:t>
      </w:r>
    </w:p>
    <w:p w14:paraId="132CD66D"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3A2ADCCE" w14:textId="77777777" w:rsidR="00326250"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En este sentido, la evidencia recopilada respalda la hipótesis de trabajo planteada para el capítulo y proporciona una base metodológica para el desarrollo de las lecturas estratégicas orientadas a fortalecer la toma de decisiones institucionales, las cuales se presentan en el Capítulo 11. Producción de Insumos Estratégicos Institucionales.</w:t>
      </w:r>
    </w:p>
    <w:p w14:paraId="19659013" w14:textId="77777777" w:rsidR="00E51078" w:rsidRPr="00E51078" w:rsidRDefault="00E51078" w:rsidP="00A86834">
      <w:pPr>
        <w:pStyle w:val="Ttulo1"/>
      </w:pPr>
      <w:bookmarkStart w:id="302" w:name="_Toc235108093"/>
      <w:r w:rsidRPr="00E51078">
        <w:t>Capítulo 3 Producción de insumos estratégicos institucionales</w:t>
      </w:r>
      <w:bookmarkEnd w:id="302"/>
    </w:p>
    <w:p w14:paraId="6854D615" w14:textId="77777777" w:rsidR="00E51078" w:rsidRPr="00E51078" w:rsidRDefault="00E51078" w:rsidP="00326250">
      <w:pPr>
        <w:pStyle w:val="Ttulo2"/>
      </w:pPr>
      <w:bookmarkStart w:id="303" w:name="_Toc235108094"/>
      <w:r w:rsidRPr="00E51078">
        <w:t>Introducción</w:t>
      </w:r>
      <w:bookmarkEnd w:id="303"/>
    </w:p>
    <w:p w14:paraId="19A5D1C7"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Los desarrollos técnicos sectoriales requieren ser traducidos en insumos estratégicos que permitan fortalecer la toma de decisiones institucional a partir de la integración estratégica sectorial.</w:t>
      </w:r>
    </w:p>
    <w:p w14:paraId="096D7339"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46EA0076"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Este capítulo deberá mostrar cómo los hallazgos provenientes de los demás pivotes pueden transformarse en productos institucionales concretos. Por ejemplo, una tensión identificada en hidrocarburos sobre seguridad energética, una oportunidad de energía en comunidades energéticas o un debate minero sobre formalización pueden convertirse en insumos de coherencia intersectorial, alertas estratégicas o recomendaciones para la alta dirección.</w:t>
      </w:r>
    </w:p>
    <w:p w14:paraId="1A2095E5"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6F2342A9" w14:textId="77777777" w:rsidR="00E51078" w:rsidRPr="00E51078" w:rsidRDefault="00E51078" w:rsidP="00326250">
      <w:pPr>
        <w:pStyle w:val="Ttulo3"/>
      </w:pPr>
      <w:bookmarkStart w:id="304" w:name="_Toc235108095"/>
      <w:r w:rsidRPr="00E51078">
        <w:t>Pregunta de investigación</w:t>
      </w:r>
      <w:bookmarkEnd w:id="304"/>
    </w:p>
    <w:p w14:paraId="36C150BF"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¿Cómo traducir los desarrollos técnicos sectoriales en insumos estratégicos coherentes que fortalezcan la capacidad institucional de respuesta y posicionamiento en escenarios de toma de decisión?</w:t>
      </w:r>
    </w:p>
    <w:p w14:paraId="314372E6" w14:textId="77777777" w:rsidR="00E51078" w:rsidRPr="00E51078" w:rsidRDefault="00E51078" w:rsidP="00326250">
      <w:pPr>
        <w:pStyle w:val="Ttulo3"/>
      </w:pPr>
      <w:bookmarkStart w:id="305" w:name="_Toc235108096"/>
      <w:r w:rsidRPr="00E51078">
        <w:t>Hipótesis</w:t>
      </w:r>
      <w:bookmarkEnd w:id="305"/>
    </w:p>
    <w:p w14:paraId="039BAE49"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La generación de insumos analíticos integrados permitirá transformar la información técnica en argumentación estratégica coherente, fortaleciendo la capacidad institucional de respuesta y posicionamiento.</w:t>
      </w:r>
    </w:p>
    <w:p w14:paraId="0679DA00" w14:textId="77777777" w:rsidR="00E51078" w:rsidRPr="00E51078" w:rsidRDefault="00E51078" w:rsidP="00A86834">
      <w:pPr>
        <w:pStyle w:val="Ttulo1"/>
      </w:pPr>
      <w:bookmarkStart w:id="306" w:name="_Toc235108097"/>
      <w:r w:rsidRPr="00E51078">
        <w:lastRenderedPageBreak/>
        <w:t>Capítulo 4 Gestión del conocimiento</w:t>
      </w:r>
      <w:bookmarkEnd w:id="306"/>
    </w:p>
    <w:p w14:paraId="0BACDD50" w14:textId="77777777" w:rsidR="00E51078" w:rsidRPr="00E51078" w:rsidRDefault="00E51078" w:rsidP="00326250">
      <w:pPr>
        <w:pStyle w:val="Ttulo2"/>
      </w:pPr>
      <w:bookmarkStart w:id="307" w:name="_Toc235108098"/>
      <w:r w:rsidRPr="00E51078">
        <w:t>Introducción</w:t>
      </w:r>
      <w:bookmarkEnd w:id="307"/>
    </w:p>
    <w:p w14:paraId="01B2F918" w14:textId="77777777" w:rsidR="00E51078" w:rsidRDefault="00E51078" w:rsidP="00E51078">
      <w:pPr>
        <w:spacing w:after="0"/>
        <w:jc w:val="both"/>
        <w:rPr>
          <w:rFonts w:asciiTheme="majorHAnsi" w:hAnsiTheme="majorHAnsi" w:cstheme="majorHAnsi"/>
        </w:rPr>
      </w:pPr>
      <w:r w:rsidRPr="00E51078">
        <w:rPr>
          <w:rFonts w:asciiTheme="majorHAnsi" w:hAnsiTheme="majorHAnsi" w:cstheme="majorHAnsi"/>
        </w:rPr>
        <w:t>La ausencia de mecanismos institucionalizados de captura y transferencia de conocimiento limita la acumulación analítica y genera riesgos de pérdida de memoria institucional.</w:t>
      </w:r>
    </w:p>
    <w:p w14:paraId="4A0AB595" w14:textId="77777777" w:rsidR="00326250" w:rsidRPr="00E51078" w:rsidRDefault="00326250" w:rsidP="00E51078">
      <w:pPr>
        <w:spacing w:after="0"/>
        <w:jc w:val="both"/>
        <w:rPr>
          <w:rFonts w:asciiTheme="majorHAnsi" w:hAnsiTheme="majorHAnsi" w:cstheme="majorHAnsi"/>
        </w:rPr>
      </w:pPr>
    </w:p>
    <w:p w14:paraId="17E4E0E3" w14:textId="77777777" w:rsid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El capítulo de gestión del conocimiento deberá proponer mecanismos concretos para que los aprendizajes de los pivotes no se pierdan después de la entrega de los documentos. Entre ellos pueden considerarse repositorios organizados por categorías, formatos únicos de sistematización, matrices de seguimiento, sesiones internas de transferencia, protocolos de actualización y productos ejecutivos periódicos.</w:t>
      </w:r>
    </w:p>
    <w:p w14:paraId="42942115" w14:textId="77777777" w:rsidR="00326250" w:rsidRPr="00E51078" w:rsidRDefault="00326250" w:rsidP="00E51078">
      <w:pPr>
        <w:pStyle w:val="NormalWeb"/>
        <w:spacing w:before="0" w:beforeAutospacing="0" w:after="0" w:afterAutospacing="0"/>
        <w:jc w:val="both"/>
        <w:rPr>
          <w:rFonts w:asciiTheme="majorHAnsi" w:hAnsiTheme="majorHAnsi" w:cstheme="majorHAnsi"/>
          <w:sz w:val="22"/>
          <w:szCs w:val="22"/>
        </w:rPr>
      </w:pPr>
    </w:p>
    <w:p w14:paraId="47C5FA72" w14:textId="77777777" w:rsidR="00E51078" w:rsidRPr="00E51078" w:rsidRDefault="00E51078" w:rsidP="00326250">
      <w:pPr>
        <w:pStyle w:val="Ttulo3"/>
      </w:pPr>
      <w:bookmarkStart w:id="308" w:name="_Toc235108099"/>
      <w:r w:rsidRPr="00E51078">
        <w:t>Pregunta de investigación</w:t>
      </w:r>
      <w:bookmarkEnd w:id="308"/>
    </w:p>
    <w:p w14:paraId="1125BCC3"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¿Cómo institucionalizar procesos de captura, sistematización y transferencia de conocimiento que garanticen continuidad analítica y sostenibilidad del fortalecimiento institucional en el tiempo?</w:t>
      </w:r>
    </w:p>
    <w:p w14:paraId="6FC7340B" w14:textId="77777777" w:rsidR="00E51078" w:rsidRPr="00E51078" w:rsidRDefault="00E51078" w:rsidP="00326250">
      <w:pPr>
        <w:pStyle w:val="Ttulo3"/>
      </w:pPr>
      <w:bookmarkStart w:id="309" w:name="_Toc235108100"/>
      <w:r w:rsidRPr="00E51078">
        <w:t>Hipótesis</w:t>
      </w:r>
      <w:bookmarkEnd w:id="309"/>
    </w:p>
    <w:p w14:paraId="48247478" w14:textId="77777777" w:rsidR="00E51078" w:rsidRPr="00E51078" w:rsidRDefault="00E51078" w:rsidP="00E51078">
      <w:pPr>
        <w:spacing w:after="0"/>
        <w:jc w:val="both"/>
        <w:rPr>
          <w:rFonts w:asciiTheme="majorHAnsi" w:hAnsiTheme="majorHAnsi" w:cstheme="majorHAnsi"/>
        </w:rPr>
      </w:pPr>
      <w:r w:rsidRPr="00E51078">
        <w:rPr>
          <w:rFonts w:asciiTheme="majorHAnsi" w:hAnsiTheme="majorHAnsi" w:cstheme="majorHAnsi"/>
        </w:rPr>
        <w:t>La consolidación de un sistema de gestión del conocimiento permitirá garantizar continuidad analítica, fortalecer la memoria institucional y asegurar la sostenibilidad del fortalecimiento propuesto.</w:t>
      </w:r>
    </w:p>
    <w:p w14:paraId="3994FDC8" w14:textId="77777777" w:rsidR="00E51078" w:rsidRPr="00E51078" w:rsidRDefault="00E51078" w:rsidP="00A86834">
      <w:pPr>
        <w:pStyle w:val="Ttulo1"/>
      </w:pPr>
      <w:bookmarkStart w:id="310" w:name="_Toc235108101"/>
      <w:r w:rsidRPr="00E51078">
        <w:t>Referencias</w:t>
      </w:r>
      <w:bookmarkEnd w:id="310"/>
    </w:p>
    <w:p w14:paraId="23D8A17F"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 xml:space="preserve">Departamento Nacional de Planeación (DNP). (2022). </w:t>
      </w:r>
      <w:r w:rsidRPr="00E51078">
        <w:rPr>
          <w:rStyle w:val="nfasis"/>
          <w:rFonts w:asciiTheme="majorHAnsi" w:hAnsiTheme="majorHAnsi" w:cstheme="majorHAnsi"/>
          <w:sz w:val="22"/>
          <w:szCs w:val="22"/>
        </w:rPr>
        <w:t>Plan Nacional de Desarrollo 2022–2026: Colombia potencia mundial de la vida</w:t>
      </w:r>
      <w:r w:rsidRPr="00E51078">
        <w:rPr>
          <w:rFonts w:asciiTheme="majorHAnsi" w:hAnsiTheme="majorHAnsi" w:cstheme="majorHAnsi"/>
          <w:sz w:val="22"/>
          <w:szCs w:val="22"/>
        </w:rPr>
        <w:t xml:space="preserve">. </w:t>
      </w:r>
      <w:hyperlink r:id="rId97" w:tgtFrame="_new" w:history="1">
        <w:r w:rsidRPr="00E51078">
          <w:rPr>
            <w:rStyle w:val="Hipervnculo"/>
            <w:rFonts w:asciiTheme="majorHAnsi" w:hAnsiTheme="majorHAnsi" w:cstheme="majorHAnsi"/>
            <w:sz w:val="22"/>
            <w:szCs w:val="22"/>
          </w:rPr>
          <w:t>https://www.dnp.gov.co</w:t>
        </w:r>
      </w:hyperlink>
    </w:p>
    <w:p w14:paraId="48B855AF" w14:textId="77777777" w:rsidR="00C8569C" w:rsidRDefault="00C8569C" w:rsidP="00E51078">
      <w:pPr>
        <w:pStyle w:val="NormalWeb"/>
        <w:spacing w:before="0" w:beforeAutospacing="0" w:after="0" w:afterAutospacing="0"/>
        <w:jc w:val="both"/>
        <w:rPr>
          <w:rFonts w:asciiTheme="majorHAnsi" w:hAnsiTheme="majorHAnsi" w:cstheme="majorHAnsi"/>
          <w:sz w:val="22"/>
          <w:szCs w:val="22"/>
        </w:rPr>
      </w:pPr>
    </w:p>
    <w:p w14:paraId="62BBFE87"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lang w:val="en-US"/>
        </w:rPr>
      </w:pPr>
      <w:r w:rsidRPr="00E51078">
        <w:rPr>
          <w:rFonts w:asciiTheme="majorHAnsi" w:hAnsiTheme="majorHAnsi" w:cstheme="majorHAnsi"/>
          <w:sz w:val="22"/>
          <w:szCs w:val="22"/>
        </w:rPr>
        <w:t xml:space="preserve">Departamento Nacional de Planeación (DNP). (2023). </w:t>
      </w:r>
      <w:r w:rsidRPr="00E51078">
        <w:rPr>
          <w:rStyle w:val="nfasis"/>
          <w:rFonts w:asciiTheme="majorHAnsi" w:hAnsiTheme="majorHAnsi" w:cstheme="majorHAnsi"/>
          <w:sz w:val="22"/>
          <w:szCs w:val="22"/>
        </w:rPr>
        <w:t>Política de Transición Energética (CONPES 4075 de 2022)</w:t>
      </w:r>
      <w:r w:rsidRPr="00E51078">
        <w:rPr>
          <w:rFonts w:asciiTheme="majorHAnsi" w:hAnsiTheme="majorHAnsi" w:cstheme="majorHAnsi"/>
          <w:sz w:val="22"/>
          <w:szCs w:val="22"/>
        </w:rPr>
        <w:t xml:space="preserve">. </w:t>
      </w:r>
      <w:hyperlink r:id="rId98" w:tgtFrame="_new" w:history="1">
        <w:r w:rsidRPr="00E51078">
          <w:rPr>
            <w:rStyle w:val="Hipervnculo"/>
            <w:rFonts w:asciiTheme="majorHAnsi" w:hAnsiTheme="majorHAnsi" w:cstheme="majorHAnsi"/>
            <w:sz w:val="22"/>
            <w:szCs w:val="22"/>
            <w:lang w:val="en-US"/>
          </w:rPr>
          <w:t>https://www.dnp.gov.co</w:t>
        </w:r>
      </w:hyperlink>
    </w:p>
    <w:p w14:paraId="612066B8" w14:textId="77777777" w:rsidR="00C8569C" w:rsidRDefault="00C8569C" w:rsidP="00E51078">
      <w:pPr>
        <w:pStyle w:val="NormalWeb"/>
        <w:spacing w:before="0" w:beforeAutospacing="0" w:after="0" w:afterAutospacing="0"/>
        <w:jc w:val="both"/>
        <w:rPr>
          <w:rFonts w:asciiTheme="majorHAnsi" w:hAnsiTheme="majorHAnsi" w:cstheme="majorHAnsi"/>
          <w:sz w:val="22"/>
          <w:szCs w:val="22"/>
          <w:lang w:val="en-US"/>
        </w:rPr>
      </w:pPr>
    </w:p>
    <w:p w14:paraId="33118D57"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lang w:val="en-US"/>
        </w:rPr>
      </w:pPr>
      <w:r w:rsidRPr="00E51078">
        <w:rPr>
          <w:rFonts w:asciiTheme="majorHAnsi" w:hAnsiTheme="majorHAnsi" w:cstheme="majorHAnsi"/>
          <w:sz w:val="22"/>
          <w:szCs w:val="22"/>
          <w:lang w:val="en-US"/>
        </w:rPr>
        <w:lastRenderedPageBreak/>
        <w:t xml:space="preserve">Howlett, M., &amp; Ramesh, M. (2003). </w:t>
      </w:r>
      <w:r w:rsidRPr="00E51078">
        <w:rPr>
          <w:rStyle w:val="nfasis"/>
          <w:rFonts w:asciiTheme="majorHAnsi" w:hAnsiTheme="majorHAnsi" w:cstheme="majorHAnsi"/>
          <w:sz w:val="22"/>
          <w:szCs w:val="22"/>
          <w:lang w:val="en-US"/>
        </w:rPr>
        <w:t>Studying public policy: Policy cycles and policy subsystems</w:t>
      </w:r>
      <w:r w:rsidRPr="00E51078">
        <w:rPr>
          <w:rFonts w:asciiTheme="majorHAnsi" w:hAnsiTheme="majorHAnsi" w:cstheme="majorHAnsi"/>
          <w:sz w:val="22"/>
          <w:szCs w:val="22"/>
          <w:lang w:val="en-US"/>
        </w:rPr>
        <w:t>. Oxford University Press.</w:t>
      </w:r>
    </w:p>
    <w:p w14:paraId="43681D0B" w14:textId="77777777" w:rsidR="00C8569C" w:rsidRDefault="00C8569C" w:rsidP="00E51078">
      <w:pPr>
        <w:pStyle w:val="NormalWeb"/>
        <w:spacing w:before="0" w:beforeAutospacing="0" w:after="0" w:afterAutospacing="0"/>
        <w:jc w:val="both"/>
        <w:rPr>
          <w:rFonts w:asciiTheme="majorHAnsi" w:hAnsiTheme="majorHAnsi" w:cstheme="majorHAnsi"/>
          <w:sz w:val="22"/>
          <w:szCs w:val="22"/>
          <w:lang w:val="en-US"/>
        </w:rPr>
      </w:pPr>
    </w:p>
    <w:p w14:paraId="0C2F120E"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lang w:val="en-US"/>
        </w:rPr>
      </w:pPr>
      <w:r w:rsidRPr="00E51078">
        <w:rPr>
          <w:rFonts w:asciiTheme="majorHAnsi" w:hAnsiTheme="majorHAnsi" w:cstheme="majorHAnsi"/>
          <w:sz w:val="22"/>
          <w:szCs w:val="22"/>
          <w:lang w:val="en-US"/>
        </w:rPr>
        <w:t xml:space="preserve">International Energy Agency (IEA). (2023). </w:t>
      </w:r>
      <w:r w:rsidRPr="00E51078">
        <w:rPr>
          <w:rStyle w:val="nfasis"/>
          <w:rFonts w:asciiTheme="majorHAnsi" w:hAnsiTheme="majorHAnsi" w:cstheme="majorHAnsi"/>
          <w:sz w:val="22"/>
          <w:szCs w:val="22"/>
          <w:lang w:val="en-US"/>
        </w:rPr>
        <w:t>Colombia Energy Policy Review</w:t>
      </w:r>
      <w:r w:rsidRPr="00E51078">
        <w:rPr>
          <w:rFonts w:asciiTheme="majorHAnsi" w:hAnsiTheme="majorHAnsi" w:cstheme="majorHAnsi"/>
          <w:sz w:val="22"/>
          <w:szCs w:val="22"/>
          <w:lang w:val="en-US"/>
        </w:rPr>
        <w:t xml:space="preserve">. </w:t>
      </w:r>
      <w:hyperlink r:id="rId99" w:tgtFrame="_new" w:history="1">
        <w:r w:rsidRPr="00E51078">
          <w:rPr>
            <w:rStyle w:val="Hipervnculo"/>
            <w:rFonts w:asciiTheme="majorHAnsi" w:hAnsiTheme="majorHAnsi" w:cstheme="majorHAnsi"/>
            <w:sz w:val="22"/>
            <w:szCs w:val="22"/>
            <w:lang w:val="en-US"/>
          </w:rPr>
          <w:t>https://www.iea.org</w:t>
        </w:r>
      </w:hyperlink>
    </w:p>
    <w:p w14:paraId="04D45B83" w14:textId="77777777" w:rsidR="00C8569C" w:rsidRDefault="00C8569C" w:rsidP="00E51078">
      <w:pPr>
        <w:pStyle w:val="NormalWeb"/>
        <w:spacing w:before="0" w:beforeAutospacing="0" w:after="0" w:afterAutospacing="0"/>
        <w:jc w:val="both"/>
        <w:rPr>
          <w:rFonts w:asciiTheme="majorHAnsi" w:hAnsiTheme="majorHAnsi" w:cstheme="majorHAnsi"/>
          <w:sz w:val="22"/>
          <w:szCs w:val="22"/>
          <w:lang w:val="en-US"/>
        </w:rPr>
      </w:pPr>
    </w:p>
    <w:p w14:paraId="61C75B72"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lang w:val="en-US"/>
        </w:rPr>
      </w:pPr>
      <w:r w:rsidRPr="00E51078">
        <w:rPr>
          <w:rFonts w:asciiTheme="majorHAnsi" w:hAnsiTheme="majorHAnsi" w:cstheme="majorHAnsi"/>
          <w:sz w:val="22"/>
          <w:szCs w:val="22"/>
          <w:lang w:val="en-US"/>
        </w:rPr>
        <w:t xml:space="preserve">Nonaka, I., &amp; Takeuchi, H. (1995). </w:t>
      </w:r>
      <w:r w:rsidRPr="00E51078">
        <w:rPr>
          <w:rStyle w:val="nfasis"/>
          <w:rFonts w:asciiTheme="majorHAnsi" w:hAnsiTheme="majorHAnsi" w:cstheme="majorHAnsi"/>
          <w:sz w:val="22"/>
          <w:szCs w:val="22"/>
          <w:lang w:val="en-US"/>
        </w:rPr>
        <w:t>The knowledge-creating company</w:t>
      </w:r>
      <w:r w:rsidRPr="00E51078">
        <w:rPr>
          <w:rFonts w:asciiTheme="majorHAnsi" w:hAnsiTheme="majorHAnsi" w:cstheme="majorHAnsi"/>
          <w:sz w:val="22"/>
          <w:szCs w:val="22"/>
          <w:lang w:val="en-US"/>
        </w:rPr>
        <w:t>. Oxford University Press.</w:t>
      </w:r>
    </w:p>
    <w:p w14:paraId="380C20B9" w14:textId="77777777" w:rsidR="00C8569C" w:rsidRDefault="00C8569C" w:rsidP="00E51078">
      <w:pPr>
        <w:pStyle w:val="NormalWeb"/>
        <w:spacing w:before="0" w:beforeAutospacing="0" w:after="0" w:afterAutospacing="0"/>
        <w:jc w:val="both"/>
        <w:rPr>
          <w:rFonts w:asciiTheme="majorHAnsi" w:hAnsiTheme="majorHAnsi" w:cstheme="majorHAnsi"/>
          <w:sz w:val="22"/>
          <w:szCs w:val="22"/>
          <w:lang w:val="en-US"/>
        </w:rPr>
      </w:pPr>
    </w:p>
    <w:p w14:paraId="445019CC"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lang w:val="en-US"/>
        </w:rPr>
      </w:pPr>
      <w:proofErr w:type="spellStart"/>
      <w:r w:rsidRPr="00E51078">
        <w:rPr>
          <w:rFonts w:asciiTheme="majorHAnsi" w:hAnsiTheme="majorHAnsi" w:cstheme="majorHAnsi"/>
          <w:sz w:val="22"/>
          <w:szCs w:val="22"/>
          <w:lang w:val="en-US"/>
        </w:rPr>
        <w:t>Organisation</w:t>
      </w:r>
      <w:proofErr w:type="spellEnd"/>
      <w:r w:rsidRPr="00E51078">
        <w:rPr>
          <w:rFonts w:asciiTheme="majorHAnsi" w:hAnsiTheme="majorHAnsi" w:cstheme="majorHAnsi"/>
          <w:sz w:val="22"/>
          <w:szCs w:val="22"/>
          <w:lang w:val="en-US"/>
        </w:rPr>
        <w:t xml:space="preserve"> for Economic Co-operation and Development (OECD). (2020). </w:t>
      </w:r>
      <w:r w:rsidRPr="00E51078">
        <w:rPr>
          <w:rStyle w:val="nfasis"/>
          <w:rFonts w:asciiTheme="majorHAnsi" w:hAnsiTheme="majorHAnsi" w:cstheme="majorHAnsi"/>
          <w:sz w:val="22"/>
          <w:szCs w:val="22"/>
          <w:lang w:val="en-US"/>
        </w:rPr>
        <w:t>Governance for sustainable development</w:t>
      </w:r>
      <w:r w:rsidRPr="00E51078">
        <w:rPr>
          <w:rFonts w:asciiTheme="majorHAnsi" w:hAnsiTheme="majorHAnsi" w:cstheme="majorHAnsi"/>
          <w:sz w:val="22"/>
          <w:szCs w:val="22"/>
          <w:lang w:val="en-US"/>
        </w:rPr>
        <w:t xml:space="preserve">. </w:t>
      </w:r>
      <w:hyperlink r:id="rId100" w:tgtFrame="_new" w:history="1">
        <w:r w:rsidRPr="00E51078">
          <w:rPr>
            <w:rStyle w:val="Hipervnculo"/>
            <w:rFonts w:asciiTheme="majorHAnsi" w:hAnsiTheme="majorHAnsi" w:cstheme="majorHAnsi"/>
            <w:sz w:val="22"/>
            <w:szCs w:val="22"/>
            <w:lang w:val="en-US"/>
          </w:rPr>
          <w:t>https://www.oecd.org</w:t>
        </w:r>
      </w:hyperlink>
    </w:p>
    <w:p w14:paraId="4FFA709D" w14:textId="77777777" w:rsidR="00C8569C" w:rsidRDefault="00C8569C" w:rsidP="00E51078">
      <w:pPr>
        <w:pStyle w:val="NormalWeb"/>
        <w:spacing w:before="0" w:beforeAutospacing="0" w:after="0" w:afterAutospacing="0"/>
        <w:jc w:val="both"/>
        <w:rPr>
          <w:rFonts w:asciiTheme="majorHAnsi" w:hAnsiTheme="majorHAnsi" w:cstheme="majorHAnsi"/>
          <w:sz w:val="22"/>
          <w:szCs w:val="22"/>
          <w:lang w:val="en-US"/>
        </w:rPr>
      </w:pPr>
    </w:p>
    <w:p w14:paraId="55BF1824"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lang w:val="en-US"/>
        </w:rPr>
      </w:pPr>
      <w:r w:rsidRPr="00E51078">
        <w:rPr>
          <w:rFonts w:asciiTheme="majorHAnsi" w:hAnsiTheme="majorHAnsi" w:cstheme="majorHAnsi"/>
          <w:sz w:val="22"/>
          <w:szCs w:val="22"/>
          <w:lang w:val="en-US"/>
        </w:rPr>
        <w:t xml:space="preserve">World Bank. (2017). </w:t>
      </w:r>
      <w:r w:rsidRPr="00E51078">
        <w:rPr>
          <w:rStyle w:val="nfasis"/>
          <w:rFonts w:asciiTheme="majorHAnsi" w:hAnsiTheme="majorHAnsi" w:cstheme="majorHAnsi"/>
          <w:sz w:val="22"/>
          <w:szCs w:val="22"/>
          <w:lang w:val="en-US"/>
        </w:rPr>
        <w:t>World Development Report 2017: Governance and the law</w:t>
      </w:r>
      <w:r w:rsidRPr="00E51078">
        <w:rPr>
          <w:rFonts w:asciiTheme="majorHAnsi" w:hAnsiTheme="majorHAnsi" w:cstheme="majorHAnsi"/>
          <w:sz w:val="22"/>
          <w:szCs w:val="22"/>
          <w:lang w:val="en-US"/>
        </w:rPr>
        <w:t xml:space="preserve">. </w:t>
      </w:r>
      <w:hyperlink r:id="rId101" w:tgtFrame="_new" w:history="1">
        <w:r w:rsidRPr="00E51078">
          <w:rPr>
            <w:rStyle w:val="Hipervnculo"/>
            <w:rFonts w:asciiTheme="majorHAnsi" w:hAnsiTheme="majorHAnsi" w:cstheme="majorHAnsi"/>
            <w:sz w:val="22"/>
            <w:szCs w:val="22"/>
            <w:lang w:val="en-US"/>
          </w:rPr>
          <w:t>https://www.worldbank.org</w:t>
        </w:r>
      </w:hyperlink>
    </w:p>
    <w:p w14:paraId="1F0E0681" w14:textId="77777777" w:rsidR="00C8569C" w:rsidRDefault="00C8569C" w:rsidP="00E51078">
      <w:pPr>
        <w:pStyle w:val="NormalWeb"/>
        <w:spacing w:before="0" w:beforeAutospacing="0" w:after="0" w:afterAutospacing="0"/>
        <w:jc w:val="both"/>
        <w:rPr>
          <w:rFonts w:asciiTheme="majorHAnsi" w:hAnsiTheme="majorHAnsi" w:cstheme="majorHAnsi"/>
          <w:sz w:val="22"/>
          <w:szCs w:val="22"/>
          <w:lang w:val="en-US"/>
        </w:rPr>
      </w:pPr>
    </w:p>
    <w:p w14:paraId="781C4C24"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lang w:val="en-US"/>
        </w:rPr>
      </w:pPr>
      <w:r w:rsidRPr="00E51078">
        <w:rPr>
          <w:rFonts w:asciiTheme="majorHAnsi" w:hAnsiTheme="majorHAnsi" w:cstheme="majorHAnsi"/>
          <w:sz w:val="22"/>
          <w:szCs w:val="22"/>
          <w:lang w:val="en-US"/>
        </w:rPr>
        <w:t xml:space="preserve">World Bank. (2022). </w:t>
      </w:r>
      <w:r w:rsidRPr="00E51078">
        <w:rPr>
          <w:rStyle w:val="nfasis"/>
          <w:rFonts w:asciiTheme="majorHAnsi" w:hAnsiTheme="majorHAnsi" w:cstheme="majorHAnsi"/>
          <w:sz w:val="22"/>
          <w:szCs w:val="22"/>
          <w:lang w:val="en-US"/>
        </w:rPr>
        <w:t>Colombia Country Climate and Development Report</w:t>
      </w:r>
      <w:r w:rsidRPr="00E51078">
        <w:rPr>
          <w:rFonts w:asciiTheme="majorHAnsi" w:hAnsiTheme="majorHAnsi" w:cstheme="majorHAnsi"/>
          <w:sz w:val="22"/>
          <w:szCs w:val="22"/>
          <w:lang w:val="en-US"/>
        </w:rPr>
        <w:t xml:space="preserve">. </w:t>
      </w:r>
      <w:hyperlink r:id="rId102" w:tgtFrame="_new" w:history="1">
        <w:r w:rsidRPr="00E51078">
          <w:rPr>
            <w:rStyle w:val="Hipervnculo"/>
            <w:rFonts w:asciiTheme="majorHAnsi" w:hAnsiTheme="majorHAnsi" w:cstheme="majorHAnsi"/>
            <w:sz w:val="22"/>
            <w:szCs w:val="22"/>
            <w:lang w:val="en-US"/>
          </w:rPr>
          <w:t>https://www.worldbank.org</w:t>
        </w:r>
      </w:hyperlink>
    </w:p>
    <w:p w14:paraId="70A1F3A4"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lang w:val="en-US"/>
        </w:rPr>
      </w:pPr>
      <w:r w:rsidRPr="00E51078">
        <w:rPr>
          <w:rFonts w:asciiTheme="majorHAnsi" w:hAnsiTheme="majorHAnsi" w:cstheme="majorHAnsi"/>
          <w:sz w:val="22"/>
          <w:szCs w:val="22"/>
          <w:lang w:val="en-US"/>
        </w:rPr>
        <w:t>Biermann, F., &amp; Kim, R. E. (2020). Architectures of earth system governance: Institutional complexity and structural transformation. Cambridge University Press.</w:t>
      </w:r>
    </w:p>
    <w:p w14:paraId="100CD072" w14:textId="77777777" w:rsidR="00C8569C" w:rsidRDefault="00C8569C" w:rsidP="00E51078">
      <w:pPr>
        <w:pStyle w:val="NormalWeb"/>
        <w:spacing w:before="0" w:beforeAutospacing="0" w:after="0" w:afterAutospacing="0"/>
        <w:jc w:val="both"/>
        <w:rPr>
          <w:rFonts w:asciiTheme="majorHAnsi" w:hAnsiTheme="majorHAnsi" w:cstheme="majorHAnsi"/>
          <w:sz w:val="22"/>
          <w:szCs w:val="22"/>
          <w:lang w:val="en-US"/>
        </w:rPr>
      </w:pPr>
    </w:p>
    <w:p w14:paraId="56A54E40" w14:textId="77777777" w:rsidR="00E51078" w:rsidRPr="00E51078" w:rsidRDefault="00E51078" w:rsidP="00E51078">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lang w:val="en-US"/>
        </w:rPr>
        <w:t xml:space="preserve">Jessop, B. (2021). The state: Past, present, future. </w:t>
      </w:r>
      <w:proofErr w:type="spellStart"/>
      <w:r w:rsidRPr="00E51078">
        <w:rPr>
          <w:rFonts w:asciiTheme="majorHAnsi" w:hAnsiTheme="majorHAnsi" w:cstheme="majorHAnsi"/>
          <w:sz w:val="22"/>
          <w:szCs w:val="22"/>
        </w:rPr>
        <w:t>Polity</w:t>
      </w:r>
      <w:proofErr w:type="spellEnd"/>
      <w:r w:rsidRPr="00E51078">
        <w:rPr>
          <w:rFonts w:asciiTheme="majorHAnsi" w:hAnsiTheme="majorHAnsi" w:cstheme="majorHAnsi"/>
          <w:sz w:val="22"/>
          <w:szCs w:val="22"/>
        </w:rPr>
        <w:t xml:space="preserve"> </w:t>
      </w:r>
      <w:proofErr w:type="spellStart"/>
      <w:r w:rsidRPr="00E51078">
        <w:rPr>
          <w:rFonts w:asciiTheme="majorHAnsi" w:hAnsiTheme="majorHAnsi" w:cstheme="majorHAnsi"/>
          <w:sz w:val="22"/>
          <w:szCs w:val="22"/>
        </w:rPr>
        <w:t>Press</w:t>
      </w:r>
      <w:proofErr w:type="spellEnd"/>
      <w:r w:rsidRPr="00E51078">
        <w:rPr>
          <w:rFonts w:asciiTheme="majorHAnsi" w:hAnsiTheme="majorHAnsi" w:cstheme="majorHAnsi"/>
          <w:sz w:val="22"/>
          <w:szCs w:val="22"/>
        </w:rPr>
        <w:t>.</w:t>
      </w:r>
    </w:p>
    <w:p w14:paraId="1EB7C6DE" w14:textId="77777777" w:rsidR="00C8569C" w:rsidRDefault="00C8569C" w:rsidP="00E51078">
      <w:pPr>
        <w:pStyle w:val="NormalWeb"/>
        <w:spacing w:before="0" w:beforeAutospacing="0" w:after="0" w:afterAutospacing="0"/>
        <w:jc w:val="both"/>
        <w:rPr>
          <w:rFonts w:asciiTheme="majorHAnsi" w:hAnsiTheme="majorHAnsi" w:cstheme="majorHAnsi"/>
          <w:sz w:val="22"/>
          <w:szCs w:val="22"/>
        </w:rPr>
      </w:pPr>
    </w:p>
    <w:p w14:paraId="0B54EF6B" w14:textId="77777777" w:rsidR="006255C9" w:rsidRPr="00C8569C" w:rsidRDefault="00E51078" w:rsidP="00C8569C">
      <w:pPr>
        <w:pStyle w:val="NormalWeb"/>
        <w:spacing w:before="0" w:beforeAutospacing="0" w:after="0" w:afterAutospacing="0"/>
        <w:jc w:val="both"/>
        <w:rPr>
          <w:rFonts w:asciiTheme="majorHAnsi" w:hAnsiTheme="majorHAnsi" w:cstheme="majorHAnsi"/>
          <w:sz w:val="22"/>
          <w:szCs w:val="22"/>
        </w:rPr>
      </w:pPr>
      <w:r w:rsidRPr="00E51078">
        <w:rPr>
          <w:rFonts w:asciiTheme="majorHAnsi" w:hAnsiTheme="majorHAnsi" w:cstheme="majorHAnsi"/>
          <w:sz w:val="22"/>
          <w:szCs w:val="22"/>
        </w:rPr>
        <w:t>Organización Internacional del Trabajo (OIT). (2015). Directrices de política para una transición justa hacia economías y sociedades ambientalmente sostenibles para todos. OIT.</w:t>
      </w:r>
    </w:p>
    <w:sectPr w:rsidR="006255C9" w:rsidRPr="00C8569C">
      <w:pgSz w:w="12240" w:h="15840"/>
      <w:pgMar w:top="1991" w:right="1418" w:bottom="1588" w:left="1418" w:header="573" w:footer="153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25214B" w14:textId="77777777" w:rsidR="00C72D7D" w:rsidRDefault="00C72D7D">
      <w:pPr>
        <w:spacing w:after="0"/>
      </w:pPr>
      <w:r>
        <w:separator/>
      </w:r>
    </w:p>
  </w:endnote>
  <w:endnote w:type="continuationSeparator" w:id="0">
    <w:p w14:paraId="10659CB2" w14:textId="77777777" w:rsidR="00C72D7D" w:rsidRDefault="00C72D7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2CE88CC3-AA7C-445E-95BF-5B022FD9979A}"/>
    <w:embedBold r:id="rId2" w:fontKey="{70063567-550A-4C35-8637-E202419D3BC0}"/>
    <w:embedItalic r:id="rId3" w:fontKey="{F14CBFEC-F03A-48EE-8C11-AC54F727E00B}"/>
    <w:embedBoldItalic r:id="rId4" w:fontKey="{2994282A-F6D3-4295-9B1C-EC9B33BCDB37}"/>
  </w:font>
  <w:font w:name="Aptos">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A36B6" w14:textId="77777777" w:rsidR="006919AE" w:rsidRDefault="002A552A">
    <w:pPr>
      <w:pBdr>
        <w:top w:val="nil"/>
        <w:left w:val="nil"/>
        <w:bottom w:val="nil"/>
        <w:right w:val="nil"/>
        <w:between w:val="nil"/>
      </w:pBdr>
      <w:tabs>
        <w:tab w:val="center" w:pos="4419"/>
        <w:tab w:val="right" w:pos="8838"/>
      </w:tabs>
      <w:spacing w:after="0"/>
      <w:rPr>
        <w:color w:val="000000"/>
      </w:rPr>
    </w:pPr>
    <w:r>
      <w:rPr>
        <w:noProof/>
      </w:rPr>
      <w:drawing>
        <wp:anchor distT="0" distB="0" distL="114300" distR="114300" simplePos="0" relativeHeight="251659264" behindDoc="0" locked="0" layoutInCell="1" hidden="0" allowOverlap="1" wp14:anchorId="062E5D66" wp14:editId="3BC1CF0C">
          <wp:simplePos x="0" y="0"/>
          <wp:positionH relativeFrom="column">
            <wp:posOffset>5</wp:posOffset>
          </wp:positionH>
          <wp:positionV relativeFrom="paragraph">
            <wp:posOffset>95250</wp:posOffset>
          </wp:positionV>
          <wp:extent cx="5143500" cy="800100"/>
          <wp:effectExtent l="0" t="0" r="0" b="0"/>
          <wp:wrapSquare wrapText="bothSides" distT="0" distB="0" distL="114300" distR="114300"/>
          <wp:docPr id="1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143500" cy="80010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681E67" w14:textId="77777777" w:rsidR="00C72D7D" w:rsidRDefault="00C72D7D">
      <w:pPr>
        <w:spacing w:after="0"/>
      </w:pPr>
      <w:r>
        <w:separator/>
      </w:r>
    </w:p>
  </w:footnote>
  <w:footnote w:type="continuationSeparator" w:id="0">
    <w:p w14:paraId="779D02B2" w14:textId="77777777" w:rsidR="00C72D7D" w:rsidRDefault="00C72D7D">
      <w:pPr>
        <w:spacing w:after="0"/>
      </w:pPr>
      <w:r>
        <w:continuationSeparator/>
      </w:r>
    </w:p>
  </w:footnote>
  <w:footnote w:id="1">
    <w:p w14:paraId="1530D3A8" w14:textId="77777777" w:rsidR="00993DFA" w:rsidRPr="001B2BF2" w:rsidRDefault="00993DFA" w:rsidP="00993DFA">
      <w:pPr>
        <w:pStyle w:val="Textonotapie"/>
        <w:rPr>
          <w:lang w:val="es-ES"/>
        </w:rPr>
      </w:pPr>
      <w:r>
        <w:rPr>
          <w:rStyle w:val="Refdenotaalpie"/>
        </w:rPr>
        <w:footnoteRef/>
      </w:r>
      <w:r>
        <w:t xml:space="preserve"> </w:t>
      </w:r>
      <w:r>
        <w:rPr>
          <w:lang w:val="es-ES"/>
        </w:rPr>
        <w:t xml:space="preserve">La reglamentación de esta ley se desarrolla en lo siguiente: </w:t>
      </w:r>
      <w:r w:rsidRPr="001B2BF2">
        <w:rPr>
          <w:lang w:val="es-ES"/>
        </w:rPr>
        <w:t>Decreto 2469 de 2014, Decreto 2143 del 2015, Decreto 1073 de 2015, Resolución 24 de 2015 CREG, Resolución 1283 de 2016, Decreto 348 de 2017, Decreto 1543 de 2017, Resolución 45 de 2016 UPME, Resolución 1283 de 2016 MADS, Resolución 60 de 2019 CREG, Resolución 201 del 2017 CREG, D</w:t>
      </w:r>
      <w:r>
        <w:rPr>
          <w:lang w:val="es-ES"/>
        </w:rPr>
        <w:t xml:space="preserve">ecreto </w:t>
      </w:r>
      <w:r w:rsidRPr="001B2BF2">
        <w:rPr>
          <w:lang w:val="es-ES"/>
        </w:rPr>
        <w:t>829 DE 2020</w:t>
      </w:r>
      <w:r>
        <w:rPr>
          <w:lang w:val="es-E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BD5EE" w14:textId="2DDA4115" w:rsidR="006919AE" w:rsidRDefault="002A552A" w:rsidP="110633E4">
    <w:pPr>
      <w:pBdr>
        <w:top w:val="nil"/>
        <w:left w:val="nil"/>
        <w:bottom w:val="nil"/>
        <w:right w:val="nil"/>
        <w:between w:val="nil"/>
      </w:pBdr>
      <w:tabs>
        <w:tab w:val="center" w:pos="4419"/>
        <w:tab w:val="right" w:pos="8838"/>
      </w:tabs>
      <w:spacing w:after="0"/>
      <w:jc w:val="right"/>
      <w:rPr>
        <w:color w:val="000000" w:themeColor="text1"/>
      </w:rPr>
    </w:pPr>
    <w:r>
      <w:rPr>
        <w:noProof/>
      </w:rPr>
      <w:drawing>
        <wp:anchor distT="0" distB="0" distL="114300" distR="114300" simplePos="0" relativeHeight="251658240" behindDoc="0" locked="0" layoutInCell="1" hidden="0" allowOverlap="1" wp14:anchorId="71B00E2C" wp14:editId="0A1C9936">
          <wp:simplePos x="0" y="0"/>
          <wp:positionH relativeFrom="column">
            <wp:posOffset>2648267</wp:posOffset>
          </wp:positionH>
          <wp:positionV relativeFrom="paragraph">
            <wp:posOffset>111760</wp:posOffset>
          </wp:positionV>
          <wp:extent cx="675005" cy="587375"/>
          <wp:effectExtent l="0" t="0" r="0" b="0"/>
          <wp:wrapSquare wrapText="bothSides" distT="0" distB="0" distL="114300" distR="11430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75005" cy="587375"/>
                  </a:xfrm>
                  <a:prstGeom prst="rect">
                    <a:avLst/>
                  </a:prstGeom>
                  <a:ln/>
                </pic:spPr>
              </pic:pic>
            </a:graphicData>
          </a:graphic>
        </wp:anchor>
      </w:drawing>
    </w:r>
    <w:r>
      <w:rPr>
        <w:color w:val="00000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77E84"/>
    <w:multiLevelType w:val="hybridMultilevel"/>
    <w:tmpl w:val="D68AF7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64B09D9"/>
    <w:multiLevelType w:val="hybridMultilevel"/>
    <w:tmpl w:val="A560FC3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15:restartNumberingAfterBreak="0">
    <w:nsid w:val="07BA6FDF"/>
    <w:multiLevelType w:val="hybridMultilevel"/>
    <w:tmpl w:val="3396544A"/>
    <w:lvl w:ilvl="0" w:tplc="069E5A6A">
      <w:start w:val="1"/>
      <w:numFmt w:val="bullet"/>
      <w:lvlText w:val=""/>
      <w:lvlJc w:val="left"/>
      <w:pPr>
        <w:ind w:left="720" w:hanging="360"/>
      </w:pPr>
      <w:rPr>
        <w:rFonts w:ascii="Symbol" w:hAnsi="Symbol" w:hint="default"/>
      </w:rPr>
    </w:lvl>
    <w:lvl w:ilvl="1" w:tplc="2BA2494A">
      <w:start w:val="1"/>
      <w:numFmt w:val="bullet"/>
      <w:lvlText w:val="o"/>
      <w:lvlJc w:val="left"/>
      <w:pPr>
        <w:ind w:left="1440" w:hanging="360"/>
      </w:pPr>
      <w:rPr>
        <w:rFonts w:ascii="Courier New" w:hAnsi="Courier New" w:hint="default"/>
      </w:rPr>
    </w:lvl>
    <w:lvl w:ilvl="2" w:tplc="FBF0F346">
      <w:start w:val="1"/>
      <w:numFmt w:val="bullet"/>
      <w:lvlText w:val=""/>
      <w:lvlJc w:val="left"/>
      <w:pPr>
        <w:ind w:left="2160" w:hanging="360"/>
      </w:pPr>
      <w:rPr>
        <w:rFonts w:ascii="Wingdings" w:hAnsi="Wingdings" w:hint="default"/>
      </w:rPr>
    </w:lvl>
    <w:lvl w:ilvl="3" w:tplc="6D56D47C">
      <w:start w:val="1"/>
      <w:numFmt w:val="bullet"/>
      <w:lvlText w:val=""/>
      <w:lvlJc w:val="left"/>
      <w:pPr>
        <w:ind w:left="2880" w:hanging="360"/>
      </w:pPr>
      <w:rPr>
        <w:rFonts w:ascii="Symbol" w:hAnsi="Symbol" w:hint="default"/>
      </w:rPr>
    </w:lvl>
    <w:lvl w:ilvl="4" w:tplc="0FE4FEA4">
      <w:start w:val="1"/>
      <w:numFmt w:val="bullet"/>
      <w:lvlText w:val="o"/>
      <w:lvlJc w:val="left"/>
      <w:pPr>
        <w:ind w:left="3600" w:hanging="360"/>
      </w:pPr>
      <w:rPr>
        <w:rFonts w:ascii="Courier New" w:hAnsi="Courier New" w:hint="default"/>
      </w:rPr>
    </w:lvl>
    <w:lvl w:ilvl="5" w:tplc="A5900632">
      <w:start w:val="1"/>
      <w:numFmt w:val="bullet"/>
      <w:lvlText w:val=""/>
      <w:lvlJc w:val="left"/>
      <w:pPr>
        <w:ind w:left="4320" w:hanging="360"/>
      </w:pPr>
      <w:rPr>
        <w:rFonts w:ascii="Wingdings" w:hAnsi="Wingdings" w:hint="default"/>
      </w:rPr>
    </w:lvl>
    <w:lvl w:ilvl="6" w:tplc="E8D02F06">
      <w:start w:val="1"/>
      <w:numFmt w:val="bullet"/>
      <w:lvlText w:val=""/>
      <w:lvlJc w:val="left"/>
      <w:pPr>
        <w:ind w:left="5040" w:hanging="360"/>
      </w:pPr>
      <w:rPr>
        <w:rFonts w:ascii="Symbol" w:hAnsi="Symbol" w:hint="default"/>
      </w:rPr>
    </w:lvl>
    <w:lvl w:ilvl="7" w:tplc="4A6C7586">
      <w:start w:val="1"/>
      <w:numFmt w:val="bullet"/>
      <w:lvlText w:val="o"/>
      <w:lvlJc w:val="left"/>
      <w:pPr>
        <w:ind w:left="5760" w:hanging="360"/>
      </w:pPr>
      <w:rPr>
        <w:rFonts w:ascii="Courier New" w:hAnsi="Courier New" w:hint="default"/>
      </w:rPr>
    </w:lvl>
    <w:lvl w:ilvl="8" w:tplc="15E44D9A">
      <w:start w:val="1"/>
      <w:numFmt w:val="bullet"/>
      <w:lvlText w:val=""/>
      <w:lvlJc w:val="left"/>
      <w:pPr>
        <w:ind w:left="6480" w:hanging="360"/>
      </w:pPr>
      <w:rPr>
        <w:rFonts w:ascii="Wingdings" w:hAnsi="Wingdings" w:hint="default"/>
      </w:rPr>
    </w:lvl>
  </w:abstractNum>
  <w:abstractNum w:abstractNumId="3" w15:restartNumberingAfterBreak="0">
    <w:nsid w:val="094AB81D"/>
    <w:multiLevelType w:val="hybridMultilevel"/>
    <w:tmpl w:val="631CBEB4"/>
    <w:lvl w:ilvl="0" w:tplc="7A0EF0CA">
      <w:start w:val="1"/>
      <w:numFmt w:val="bullet"/>
      <w:lvlText w:val=""/>
      <w:lvlJc w:val="left"/>
      <w:pPr>
        <w:ind w:left="720" w:hanging="360"/>
      </w:pPr>
      <w:rPr>
        <w:rFonts w:ascii="Symbol" w:hAnsi="Symbol" w:hint="default"/>
      </w:rPr>
    </w:lvl>
    <w:lvl w:ilvl="1" w:tplc="00D076EA">
      <w:start w:val="1"/>
      <w:numFmt w:val="bullet"/>
      <w:lvlText w:val="o"/>
      <w:lvlJc w:val="left"/>
      <w:pPr>
        <w:ind w:left="1440" w:hanging="360"/>
      </w:pPr>
      <w:rPr>
        <w:rFonts w:ascii="Courier New" w:hAnsi="Courier New" w:hint="default"/>
      </w:rPr>
    </w:lvl>
    <w:lvl w:ilvl="2" w:tplc="80501B08">
      <w:start w:val="1"/>
      <w:numFmt w:val="bullet"/>
      <w:lvlText w:val=""/>
      <w:lvlJc w:val="left"/>
      <w:pPr>
        <w:ind w:left="2160" w:hanging="360"/>
      </w:pPr>
      <w:rPr>
        <w:rFonts w:ascii="Wingdings" w:hAnsi="Wingdings" w:hint="default"/>
      </w:rPr>
    </w:lvl>
    <w:lvl w:ilvl="3" w:tplc="4672DA86">
      <w:start w:val="1"/>
      <w:numFmt w:val="bullet"/>
      <w:lvlText w:val=""/>
      <w:lvlJc w:val="left"/>
      <w:pPr>
        <w:ind w:left="2880" w:hanging="360"/>
      </w:pPr>
      <w:rPr>
        <w:rFonts w:ascii="Symbol" w:hAnsi="Symbol" w:hint="default"/>
      </w:rPr>
    </w:lvl>
    <w:lvl w:ilvl="4" w:tplc="D19E39EC">
      <w:start w:val="1"/>
      <w:numFmt w:val="bullet"/>
      <w:lvlText w:val="o"/>
      <w:lvlJc w:val="left"/>
      <w:pPr>
        <w:ind w:left="3600" w:hanging="360"/>
      </w:pPr>
      <w:rPr>
        <w:rFonts w:ascii="Courier New" w:hAnsi="Courier New" w:hint="default"/>
      </w:rPr>
    </w:lvl>
    <w:lvl w:ilvl="5" w:tplc="5E9AC002">
      <w:start w:val="1"/>
      <w:numFmt w:val="bullet"/>
      <w:lvlText w:val=""/>
      <w:lvlJc w:val="left"/>
      <w:pPr>
        <w:ind w:left="4320" w:hanging="360"/>
      </w:pPr>
      <w:rPr>
        <w:rFonts w:ascii="Wingdings" w:hAnsi="Wingdings" w:hint="default"/>
      </w:rPr>
    </w:lvl>
    <w:lvl w:ilvl="6" w:tplc="A7CA7578">
      <w:start w:val="1"/>
      <w:numFmt w:val="bullet"/>
      <w:lvlText w:val=""/>
      <w:lvlJc w:val="left"/>
      <w:pPr>
        <w:ind w:left="5040" w:hanging="360"/>
      </w:pPr>
      <w:rPr>
        <w:rFonts w:ascii="Symbol" w:hAnsi="Symbol" w:hint="default"/>
      </w:rPr>
    </w:lvl>
    <w:lvl w:ilvl="7" w:tplc="E65C0B2E">
      <w:start w:val="1"/>
      <w:numFmt w:val="bullet"/>
      <w:lvlText w:val="o"/>
      <w:lvlJc w:val="left"/>
      <w:pPr>
        <w:ind w:left="5760" w:hanging="360"/>
      </w:pPr>
      <w:rPr>
        <w:rFonts w:ascii="Courier New" w:hAnsi="Courier New" w:hint="default"/>
      </w:rPr>
    </w:lvl>
    <w:lvl w:ilvl="8" w:tplc="38D0F3BC">
      <w:start w:val="1"/>
      <w:numFmt w:val="bullet"/>
      <w:lvlText w:val=""/>
      <w:lvlJc w:val="left"/>
      <w:pPr>
        <w:ind w:left="6480" w:hanging="360"/>
      </w:pPr>
      <w:rPr>
        <w:rFonts w:ascii="Wingdings" w:hAnsi="Wingdings" w:hint="default"/>
      </w:rPr>
    </w:lvl>
  </w:abstractNum>
  <w:abstractNum w:abstractNumId="4" w15:restartNumberingAfterBreak="0">
    <w:nsid w:val="0EB60B26"/>
    <w:multiLevelType w:val="hybridMultilevel"/>
    <w:tmpl w:val="DE92344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 w15:restartNumberingAfterBreak="0">
    <w:nsid w:val="11A17F5E"/>
    <w:multiLevelType w:val="multilevel"/>
    <w:tmpl w:val="0BD0B00C"/>
    <w:lvl w:ilvl="0">
      <w:start w:val="9"/>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11DA1103"/>
    <w:multiLevelType w:val="multilevel"/>
    <w:tmpl w:val="8E5E4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21867CF"/>
    <w:multiLevelType w:val="multilevel"/>
    <w:tmpl w:val="7F7EA19E"/>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12964573"/>
    <w:multiLevelType w:val="multilevel"/>
    <w:tmpl w:val="0F1E2F06"/>
    <w:lvl w:ilvl="0">
      <w:start w:val="1"/>
      <w:numFmt w:val="decimal"/>
      <w:lvlText w:val="%1."/>
      <w:lvlJc w:val="left"/>
      <w:pPr>
        <w:ind w:left="720" w:hanging="360"/>
      </w:pPr>
      <w:rPr>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12B301FC"/>
    <w:multiLevelType w:val="multilevel"/>
    <w:tmpl w:val="922AC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52C6D6A"/>
    <w:multiLevelType w:val="hybridMultilevel"/>
    <w:tmpl w:val="A80A35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5E63AE6"/>
    <w:multiLevelType w:val="hybridMultilevel"/>
    <w:tmpl w:val="8312CC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8425837"/>
    <w:multiLevelType w:val="multilevel"/>
    <w:tmpl w:val="003AF7D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color w:val="D49E21"/>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B665DED"/>
    <w:multiLevelType w:val="hybridMultilevel"/>
    <w:tmpl w:val="384894B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1D707B76"/>
    <w:multiLevelType w:val="multilevel"/>
    <w:tmpl w:val="F4ACF898"/>
    <w:lvl w:ilvl="0">
      <w:start w:val="1"/>
      <w:numFmt w:val="bullet"/>
      <w:lvlText w:val="●"/>
      <w:lvlJc w:val="left"/>
      <w:pPr>
        <w:ind w:left="720" w:hanging="360"/>
      </w:pPr>
      <w:rPr>
        <w:color w:val="auto"/>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1F15C2E"/>
    <w:multiLevelType w:val="hybridMultilevel"/>
    <w:tmpl w:val="AD0ADE1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254B55A9"/>
    <w:multiLevelType w:val="multilevel"/>
    <w:tmpl w:val="F510E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67F09B8"/>
    <w:multiLevelType w:val="multilevel"/>
    <w:tmpl w:val="1CF4FC0A"/>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 w15:restartNumberingAfterBreak="0">
    <w:nsid w:val="287969D6"/>
    <w:multiLevelType w:val="hybridMultilevel"/>
    <w:tmpl w:val="23E44B2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9" w15:restartNumberingAfterBreak="0">
    <w:nsid w:val="290F69DF"/>
    <w:multiLevelType w:val="hybridMultilevel"/>
    <w:tmpl w:val="BABE7F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299B6C96"/>
    <w:multiLevelType w:val="multilevel"/>
    <w:tmpl w:val="0C5804A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2B6162C8"/>
    <w:multiLevelType w:val="hybridMultilevel"/>
    <w:tmpl w:val="AF6A0A50"/>
    <w:lvl w:ilvl="0" w:tplc="D38E92F4">
      <w:start w:val="1"/>
      <w:numFmt w:val="decimal"/>
      <w:lvlText w:val="%1."/>
      <w:lvlJc w:val="left"/>
      <w:pPr>
        <w:ind w:left="720" w:hanging="360"/>
      </w:pPr>
      <w:rPr>
        <w:rFonts w:hint="default"/>
        <w:b/>
      </w:rPr>
    </w:lvl>
    <w:lvl w:ilvl="1" w:tplc="12A21770">
      <w:start w:val="1"/>
      <w:numFmt w:val="decimal"/>
      <w:lvlText w:val="%2."/>
      <w:lvlJc w:val="left"/>
      <w:pPr>
        <w:ind w:left="1440" w:hanging="360"/>
      </w:pPr>
      <w:rPr>
        <w:rFonts w:ascii="Times New Roman" w:eastAsia="Calibri" w:hAnsi="Times New Roman" w:cs="Times New Roman"/>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32A35E0E"/>
    <w:multiLevelType w:val="multilevel"/>
    <w:tmpl w:val="F716C946"/>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32B15C2B"/>
    <w:multiLevelType w:val="multilevel"/>
    <w:tmpl w:val="69D80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66630E5"/>
    <w:multiLevelType w:val="multilevel"/>
    <w:tmpl w:val="DDA23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92B5753"/>
    <w:multiLevelType w:val="multilevel"/>
    <w:tmpl w:val="C3FAF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A186711"/>
    <w:multiLevelType w:val="hybridMultilevel"/>
    <w:tmpl w:val="B71C3726"/>
    <w:lvl w:ilvl="0" w:tplc="240A0001">
      <w:start w:val="1"/>
      <w:numFmt w:val="bullet"/>
      <w:lvlText w:val=""/>
      <w:lvlJc w:val="left"/>
      <w:pPr>
        <w:ind w:left="720" w:hanging="360"/>
      </w:pPr>
      <w:rPr>
        <w:rFonts w:ascii="Symbol" w:hAnsi="Symbol" w:hint="default"/>
      </w:rPr>
    </w:lvl>
    <w:lvl w:ilvl="1" w:tplc="019634DE">
      <w:numFmt w:val="bullet"/>
      <w:lvlText w:val="•"/>
      <w:lvlJc w:val="left"/>
      <w:pPr>
        <w:ind w:left="1440" w:hanging="360"/>
      </w:pPr>
      <w:rPr>
        <w:rFonts w:ascii="Calibri" w:eastAsia="Calibri" w:hAnsi="Calibri" w:cs="Calibri"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3A261155"/>
    <w:multiLevelType w:val="hybridMultilevel"/>
    <w:tmpl w:val="D2E42A42"/>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3AF75F56"/>
    <w:multiLevelType w:val="multilevel"/>
    <w:tmpl w:val="7400B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C6240E5"/>
    <w:multiLevelType w:val="multilevel"/>
    <w:tmpl w:val="8EFE1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0537488"/>
    <w:multiLevelType w:val="multilevel"/>
    <w:tmpl w:val="871CA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2B317F6"/>
    <w:multiLevelType w:val="hybridMultilevel"/>
    <w:tmpl w:val="A0207838"/>
    <w:lvl w:ilvl="0" w:tplc="94669C8A">
      <w:start w:val="1"/>
      <w:numFmt w:val="bullet"/>
      <w:lvlText w:val="-"/>
      <w:lvlJc w:val="left"/>
      <w:pPr>
        <w:ind w:left="720" w:hanging="360"/>
      </w:pPr>
      <w:rPr>
        <w:rFonts w:ascii="Aptos" w:hAnsi="Aptos" w:hint="default"/>
      </w:rPr>
    </w:lvl>
    <w:lvl w:ilvl="1" w:tplc="D8F2345A">
      <w:start w:val="1"/>
      <w:numFmt w:val="bullet"/>
      <w:lvlText w:val="o"/>
      <w:lvlJc w:val="left"/>
      <w:pPr>
        <w:ind w:left="1440" w:hanging="360"/>
      </w:pPr>
      <w:rPr>
        <w:rFonts w:ascii="Courier New" w:hAnsi="Courier New" w:hint="default"/>
      </w:rPr>
    </w:lvl>
    <w:lvl w:ilvl="2" w:tplc="DC623AEA">
      <w:start w:val="1"/>
      <w:numFmt w:val="bullet"/>
      <w:lvlText w:val=""/>
      <w:lvlJc w:val="left"/>
      <w:pPr>
        <w:ind w:left="2160" w:hanging="360"/>
      </w:pPr>
      <w:rPr>
        <w:rFonts w:ascii="Wingdings" w:hAnsi="Wingdings" w:hint="default"/>
      </w:rPr>
    </w:lvl>
    <w:lvl w:ilvl="3" w:tplc="AA1A123E">
      <w:start w:val="1"/>
      <w:numFmt w:val="bullet"/>
      <w:lvlText w:val=""/>
      <w:lvlJc w:val="left"/>
      <w:pPr>
        <w:ind w:left="2880" w:hanging="360"/>
      </w:pPr>
      <w:rPr>
        <w:rFonts w:ascii="Symbol" w:hAnsi="Symbol" w:hint="default"/>
      </w:rPr>
    </w:lvl>
    <w:lvl w:ilvl="4" w:tplc="59F2FE32">
      <w:start w:val="1"/>
      <w:numFmt w:val="bullet"/>
      <w:lvlText w:val="o"/>
      <w:lvlJc w:val="left"/>
      <w:pPr>
        <w:ind w:left="3600" w:hanging="360"/>
      </w:pPr>
      <w:rPr>
        <w:rFonts w:ascii="Courier New" w:hAnsi="Courier New" w:hint="default"/>
      </w:rPr>
    </w:lvl>
    <w:lvl w:ilvl="5" w:tplc="5BC6180C">
      <w:start w:val="1"/>
      <w:numFmt w:val="bullet"/>
      <w:lvlText w:val=""/>
      <w:lvlJc w:val="left"/>
      <w:pPr>
        <w:ind w:left="4320" w:hanging="360"/>
      </w:pPr>
      <w:rPr>
        <w:rFonts w:ascii="Wingdings" w:hAnsi="Wingdings" w:hint="default"/>
      </w:rPr>
    </w:lvl>
    <w:lvl w:ilvl="6" w:tplc="0DEC55A2">
      <w:start w:val="1"/>
      <w:numFmt w:val="bullet"/>
      <w:lvlText w:val=""/>
      <w:lvlJc w:val="left"/>
      <w:pPr>
        <w:ind w:left="5040" w:hanging="360"/>
      </w:pPr>
      <w:rPr>
        <w:rFonts w:ascii="Symbol" w:hAnsi="Symbol" w:hint="default"/>
      </w:rPr>
    </w:lvl>
    <w:lvl w:ilvl="7" w:tplc="BC766BBC">
      <w:start w:val="1"/>
      <w:numFmt w:val="bullet"/>
      <w:lvlText w:val="o"/>
      <w:lvlJc w:val="left"/>
      <w:pPr>
        <w:ind w:left="5760" w:hanging="360"/>
      </w:pPr>
      <w:rPr>
        <w:rFonts w:ascii="Courier New" w:hAnsi="Courier New" w:hint="default"/>
      </w:rPr>
    </w:lvl>
    <w:lvl w:ilvl="8" w:tplc="A52AB9D6">
      <w:start w:val="1"/>
      <w:numFmt w:val="bullet"/>
      <w:lvlText w:val=""/>
      <w:lvlJc w:val="left"/>
      <w:pPr>
        <w:ind w:left="6480" w:hanging="360"/>
      </w:pPr>
      <w:rPr>
        <w:rFonts w:ascii="Wingdings" w:hAnsi="Wingdings" w:hint="default"/>
      </w:rPr>
    </w:lvl>
  </w:abstractNum>
  <w:abstractNum w:abstractNumId="32" w15:restartNumberingAfterBreak="0">
    <w:nsid w:val="43AA1EF0"/>
    <w:multiLevelType w:val="multilevel"/>
    <w:tmpl w:val="23F00CC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 w15:restartNumberingAfterBreak="0">
    <w:nsid w:val="44F59914"/>
    <w:multiLevelType w:val="hybridMultilevel"/>
    <w:tmpl w:val="3B3E317C"/>
    <w:lvl w:ilvl="0" w:tplc="D53C1916">
      <w:start w:val="1"/>
      <w:numFmt w:val="bullet"/>
      <w:lvlText w:val=""/>
      <w:lvlJc w:val="left"/>
      <w:pPr>
        <w:ind w:left="720" w:hanging="360"/>
      </w:pPr>
      <w:rPr>
        <w:rFonts w:ascii="Symbol" w:hAnsi="Symbol" w:hint="default"/>
      </w:rPr>
    </w:lvl>
    <w:lvl w:ilvl="1" w:tplc="D6E6EEF8">
      <w:start w:val="1"/>
      <w:numFmt w:val="bullet"/>
      <w:lvlText w:val="o"/>
      <w:lvlJc w:val="left"/>
      <w:pPr>
        <w:ind w:left="1440" w:hanging="360"/>
      </w:pPr>
      <w:rPr>
        <w:rFonts w:ascii="Courier New" w:hAnsi="Courier New" w:hint="default"/>
      </w:rPr>
    </w:lvl>
    <w:lvl w:ilvl="2" w:tplc="1F789FB6">
      <w:start w:val="1"/>
      <w:numFmt w:val="bullet"/>
      <w:lvlText w:val=""/>
      <w:lvlJc w:val="left"/>
      <w:pPr>
        <w:ind w:left="2160" w:hanging="360"/>
      </w:pPr>
      <w:rPr>
        <w:rFonts w:ascii="Wingdings" w:hAnsi="Wingdings" w:hint="default"/>
      </w:rPr>
    </w:lvl>
    <w:lvl w:ilvl="3" w:tplc="B5004E06">
      <w:start w:val="1"/>
      <w:numFmt w:val="bullet"/>
      <w:lvlText w:val=""/>
      <w:lvlJc w:val="left"/>
      <w:pPr>
        <w:ind w:left="2880" w:hanging="360"/>
      </w:pPr>
      <w:rPr>
        <w:rFonts w:ascii="Symbol" w:hAnsi="Symbol" w:hint="default"/>
      </w:rPr>
    </w:lvl>
    <w:lvl w:ilvl="4" w:tplc="A63849EA">
      <w:start w:val="1"/>
      <w:numFmt w:val="bullet"/>
      <w:lvlText w:val="o"/>
      <w:lvlJc w:val="left"/>
      <w:pPr>
        <w:ind w:left="3600" w:hanging="360"/>
      </w:pPr>
      <w:rPr>
        <w:rFonts w:ascii="Courier New" w:hAnsi="Courier New" w:hint="default"/>
      </w:rPr>
    </w:lvl>
    <w:lvl w:ilvl="5" w:tplc="0F7EB752">
      <w:start w:val="1"/>
      <w:numFmt w:val="bullet"/>
      <w:lvlText w:val=""/>
      <w:lvlJc w:val="left"/>
      <w:pPr>
        <w:ind w:left="4320" w:hanging="360"/>
      </w:pPr>
      <w:rPr>
        <w:rFonts w:ascii="Wingdings" w:hAnsi="Wingdings" w:hint="default"/>
      </w:rPr>
    </w:lvl>
    <w:lvl w:ilvl="6" w:tplc="70247470">
      <w:start w:val="1"/>
      <w:numFmt w:val="bullet"/>
      <w:lvlText w:val=""/>
      <w:lvlJc w:val="left"/>
      <w:pPr>
        <w:ind w:left="5040" w:hanging="360"/>
      </w:pPr>
      <w:rPr>
        <w:rFonts w:ascii="Symbol" w:hAnsi="Symbol" w:hint="default"/>
      </w:rPr>
    </w:lvl>
    <w:lvl w:ilvl="7" w:tplc="8834AA36">
      <w:start w:val="1"/>
      <w:numFmt w:val="bullet"/>
      <w:lvlText w:val="o"/>
      <w:lvlJc w:val="left"/>
      <w:pPr>
        <w:ind w:left="5760" w:hanging="360"/>
      </w:pPr>
      <w:rPr>
        <w:rFonts w:ascii="Courier New" w:hAnsi="Courier New" w:hint="default"/>
      </w:rPr>
    </w:lvl>
    <w:lvl w:ilvl="8" w:tplc="660EC1D0">
      <w:start w:val="1"/>
      <w:numFmt w:val="bullet"/>
      <w:lvlText w:val=""/>
      <w:lvlJc w:val="left"/>
      <w:pPr>
        <w:ind w:left="6480" w:hanging="360"/>
      </w:pPr>
      <w:rPr>
        <w:rFonts w:ascii="Wingdings" w:hAnsi="Wingdings" w:hint="default"/>
      </w:rPr>
    </w:lvl>
  </w:abstractNum>
  <w:abstractNum w:abstractNumId="34" w15:restartNumberingAfterBreak="0">
    <w:nsid w:val="462D6B36"/>
    <w:multiLevelType w:val="multilevel"/>
    <w:tmpl w:val="84F6704E"/>
    <w:lvl w:ilvl="0">
      <w:start w:val="8"/>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 w15:restartNumberingAfterBreak="0">
    <w:nsid w:val="4908082C"/>
    <w:multiLevelType w:val="hybridMultilevel"/>
    <w:tmpl w:val="7E90DA3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4C5B79AB"/>
    <w:multiLevelType w:val="hybridMultilevel"/>
    <w:tmpl w:val="D68EB94C"/>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7" w15:restartNumberingAfterBreak="0">
    <w:nsid w:val="4E9B59A8"/>
    <w:multiLevelType w:val="hybridMultilevel"/>
    <w:tmpl w:val="750CC9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4F9B251A"/>
    <w:multiLevelType w:val="multilevel"/>
    <w:tmpl w:val="0DD86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7BC225D"/>
    <w:multiLevelType w:val="hybridMultilevel"/>
    <w:tmpl w:val="23D62CBE"/>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57DD72F7"/>
    <w:multiLevelType w:val="multilevel"/>
    <w:tmpl w:val="586211B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80502C0"/>
    <w:multiLevelType w:val="multilevel"/>
    <w:tmpl w:val="7DCEDCE8"/>
    <w:lvl w:ilvl="0">
      <w:start w:val="2"/>
      <w:numFmt w:val="decimal"/>
      <w:lvlText w:val="%1."/>
      <w:lvlJc w:val="left"/>
      <w:pPr>
        <w:ind w:left="540" w:hanging="540"/>
      </w:pPr>
      <w:rPr>
        <w:rFonts w:hint="default"/>
        <w:b/>
      </w:rPr>
    </w:lvl>
    <w:lvl w:ilvl="1">
      <w:start w:val="1"/>
      <w:numFmt w:val="decimal"/>
      <w:lvlText w:val="%1.%2."/>
      <w:lvlJc w:val="left"/>
      <w:pPr>
        <w:ind w:left="1260" w:hanging="54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560" w:hanging="1800"/>
      </w:pPr>
      <w:rPr>
        <w:rFonts w:hint="default"/>
        <w:b/>
      </w:rPr>
    </w:lvl>
  </w:abstractNum>
  <w:abstractNum w:abstractNumId="42" w15:restartNumberingAfterBreak="0">
    <w:nsid w:val="59BE2215"/>
    <w:multiLevelType w:val="multilevel"/>
    <w:tmpl w:val="5C9C5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BA64B25"/>
    <w:multiLevelType w:val="multilevel"/>
    <w:tmpl w:val="F9944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5E7E6408"/>
    <w:multiLevelType w:val="multilevel"/>
    <w:tmpl w:val="89142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618E5134"/>
    <w:multiLevelType w:val="hybridMultilevel"/>
    <w:tmpl w:val="444C9530"/>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15:restartNumberingAfterBreak="0">
    <w:nsid w:val="635A3830"/>
    <w:multiLevelType w:val="multilevel"/>
    <w:tmpl w:val="94AAA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4B0792B"/>
    <w:multiLevelType w:val="multilevel"/>
    <w:tmpl w:val="5D54B58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 w15:restartNumberingAfterBreak="0">
    <w:nsid w:val="66923DCE"/>
    <w:multiLevelType w:val="hybridMultilevel"/>
    <w:tmpl w:val="9E5A5F3C"/>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9" w15:restartNumberingAfterBreak="0">
    <w:nsid w:val="6692482E"/>
    <w:multiLevelType w:val="hybridMultilevel"/>
    <w:tmpl w:val="5B80DA6A"/>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0" w15:restartNumberingAfterBreak="0">
    <w:nsid w:val="66DC5E36"/>
    <w:multiLevelType w:val="multilevel"/>
    <w:tmpl w:val="2AF66E44"/>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1" w15:restartNumberingAfterBreak="0">
    <w:nsid w:val="675C1042"/>
    <w:multiLevelType w:val="multilevel"/>
    <w:tmpl w:val="D0FA9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698615A6"/>
    <w:multiLevelType w:val="multilevel"/>
    <w:tmpl w:val="5218C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6AD83798"/>
    <w:multiLevelType w:val="hybridMultilevel"/>
    <w:tmpl w:val="0D0AA2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4" w15:restartNumberingAfterBreak="0">
    <w:nsid w:val="6FAB79D2"/>
    <w:multiLevelType w:val="hybridMultilevel"/>
    <w:tmpl w:val="08EE117E"/>
    <w:lvl w:ilvl="0" w:tplc="76EE2D74">
      <w:start w:val="1"/>
      <w:numFmt w:val="bullet"/>
      <w:lvlText w:val=""/>
      <w:lvlJc w:val="left"/>
      <w:pPr>
        <w:ind w:left="720" w:hanging="360"/>
      </w:pPr>
      <w:rPr>
        <w:rFonts w:ascii="Symbol" w:hAnsi="Symbol" w:hint="default"/>
      </w:rPr>
    </w:lvl>
    <w:lvl w:ilvl="1" w:tplc="3788E91E">
      <w:start w:val="1"/>
      <w:numFmt w:val="bullet"/>
      <w:lvlText w:val="o"/>
      <w:lvlJc w:val="left"/>
      <w:pPr>
        <w:ind w:left="1440" w:hanging="360"/>
      </w:pPr>
      <w:rPr>
        <w:rFonts w:ascii="Courier New" w:hAnsi="Courier New" w:hint="default"/>
      </w:rPr>
    </w:lvl>
    <w:lvl w:ilvl="2" w:tplc="EA929400">
      <w:start w:val="1"/>
      <w:numFmt w:val="bullet"/>
      <w:lvlText w:val=""/>
      <w:lvlJc w:val="left"/>
      <w:pPr>
        <w:ind w:left="2160" w:hanging="360"/>
      </w:pPr>
      <w:rPr>
        <w:rFonts w:ascii="Wingdings" w:hAnsi="Wingdings" w:hint="default"/>
      </w:rPr>
    </w:lvl>
    <w:lvl w:ilvl="3" w:tplc="4B1CF6EE">
      <w:start w:val="1"/>
      <w:numFmt w:val="bullet"/>
      <w:lvlText w:val=""/>
      <w:lvlJc w:val="left"/>
      <w:pPr>
        <w:ind w:left="2880" w:hanging="360"/>
      </w:pPr>
      <w:rPr>
        <w:rFonts w:ascii="Symbol" w:hAnsi="Symbol" w:hint="default"/>
      </w:rPr>
    </w:lvl>
    <w:lvl w:ilvl="4" w:tplc="C2EE9502">
      <w:start w:val="1"/>
      <w:numFmt w:val="bullet"/>
      <w:lvlText w:val="o"/>
      <w:lvlJc w:val="left"/>
      <w:pPr>
        <w:ind w:left="3600" w:hanging="360"/>
      </w:pPr>
      <w:rPr>
        <w:rFonts w:ascii="Courier New" w:hAnsi="Courier New" w:hint="default"/>
      </w:rPr>
    </w:lvl>
    <w:lvl w:ilvl="5" w:tplc="0478BA3E">
      <w:start w:val="1"/>
      <w:numFmt w:val="bullet"/>
      <w:lvlText w:val=""/>
      <w:lvlJc w:val="left"/>
      <w:pPr>
        <w:ind w:left="4320" w:hanging="360"/>
      </w:pPr>
      <w:rPr>
        <w:rFonts w:ascii="Wingdings" w:hAnsi="Wingdings" w:hint="default"/>
      </w:rPr>
    </w:lvl>
    <w:lvl w:ilvl="6" w:tplc="6FB86110">
      <w:start w:val="1"/>
      <w:numFmt w:val="bullet"/>
      <w:lvlText w:val=""/>
      <w:lvlJc w:val="left"/>
      <w:pPr>
        <w:ind w:left="5040" w:hanging="360"/>
      </w:pPr>
      <w:rPr>
        <w:rFonts w:ascii="Symbol" w:hAnsi="Symbol" w:hint="default"/>
      </w:rPr>
    </w:lvl>
    <w:lvl w:ilvl="7" w:tplc="0414ED5A">
      <w:start w:val="1"/>
      <w:numFmt w:val="bullet"/>
      <w:lvlText w:val="o"/>
      <w:lvlJc w:val="left"/>
      <w:pPr>
        <w:ind w:left="5760" w:hanging="360"/>
      </w:pPr>
      <w:rPr>
        <w:rFonts w:ascii="Courier New" w:hAnsi="Courier New" w:hint="default"/>
      </w:rPr>
    </w:lvl>
    <w:lvl w:ilvl="8" w:tplc="2892DBB6">
      <w:start w:val="1"/>
      <w:numFmt w:val="bullet"/>
      <w:lvlText w:val=""/>
      <w:lvlJc w:val="left"/>
      <w:pPr>
        <w:ind w:left="6480" w:hanging="360"/>
      </w:pPr>
      <w:rPr>
        <w:rFonts w:ascii="Wingdings" w:hAnsi="Wingdings" w:hint="default"/>
      </w:rPr>
    </w:lvl>
  </w:abstractNum>
  <w:abstractNum w:abstractNumId="55" w15:restartNumberingAfterBreak="0">
    <w:nsid w:val="6FBE2EDD"/>
    <w:multiLevelType w:val="hybridMultilevel"/>
    <w:tmpl w:val="403A8360"/>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6" w15:restartNumberingAfterBreak="0">
    <w:nsid w:val="7272480F"/>
    <w:multiLevelType w:val="multilevel"/>
    <w:tmpl w:val="4888F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7704713"/>
    <w:multiLevelType w:val="multilevel"/>
    <w:tmpl w:val="EE6A0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8DD777E"/>
    <w:multiLevelType w:val="hybridMultilevel"/>
    <w:tmpl w:val="EBFE12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9" w15:restartNumberingAfterBreak="0">
    <w:nsid w:val="79395F4B"/>
    <w:multiLevelType w:val="hybridMultilevel"/>
    <w:tmpl w:val="3BE89B5E"/>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0" w15:restartNumberingAfterBreak="0">
    <w:nsid w:val="7E9D2B57"/>
    <w:multiLevelType w:val="multilevel"/>
    <w:tmpl w:val="A4607988"/>
    <w:lvl w:ilvl="0">
      <w:start w:val="10"/>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1" w15:restartNumberingAfterBreak="0">
    <w:nsid w:val="7FF350FE"/>
    <w:multiLevelType w:val="multilevel"/>
    <w:tmpl w:val="C874862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abstractNumId w:val="54"/>
  </w:num>
  <w:num w:numId="2">
    <w:abstractNumId w:val="3"/>
  </w:num>
  <w:num w:numId="3">
    <w:abstractNumId w:val="23"/>
  </w:num>
  <w:num w:numId="4">
    <w:abstractNumId w:val="52"/>
  </w:num>
  <w:num w:numId="5">
    <w:abstractNumId w:val="16"/>
  </w:num>
  <w:num w:numId="6">
    <w:abstractNumId w:val="43"/>
  </w:num>
  <w:num w:numId="7">
    <w:abstractNumId w:val="30"/>
  </w:num>
  <w:num w:numId="8">
    <w:abstractNumId w:val="56"/>
  </w:num>
  <w:num w:numId="9">
    <w:abstractNumId w:val="6"/>
  </w:num>
  <w:num w:numId="10">
    <w:abstractNumId w:val="38"/>
  </w:num>
  <w:num w:numId="11">
    <w:abstractNumId w:val="29"/>
  </w:num>
  <w:num w:numId="12">
    <w:abstractNumId w:val="24"/>
  </w:num>
  <w:num w:numId="13">
    <w:abstractNumId w:val="46"/>
  </w:num>
  <w:num w:numId="14">
    <w:abstractNumId w:val="57"/>
  </w:num>
  <w:num w:numId="15">
    <w:abstractNumId w:val="28"/>
  </w:num>
  <w:num w:numId="16">
    <w:abstractNumId w:val="9"/>
  </w:num>
  <w:num w:numId="17">
    <w:abstractNumId w:val="51"/>
  </w:num>
  <w:num w:numId="18">
    <w:abstractNumId w:val="42"/>
  </w:num>
  <w:num w:numId="19">
    <w:abstractNumId w:val="44"/>
  </w:num>
  <w:num w:numId="20">
    <w:abstractNumId w:val="25"/>
  </w:num>
  <w:num w:numId="21">
    <w:abstractNumId w:val="61"/>
  </w:num>
  <w:num w:numId="22">
    <w:abstractNumId w:val="47"/>
  </w:num>
  <w:num w:numId="23">
    <w:abstractNumId w:val="32"/>
  </w:num>
  <w:num w:numId="24">
    <w:abstractNumId w:val="50"/>
  </w:num>
  <w:num w:numId="25">
    <w:abstractNumId w:val="22"/>
  </w:num>
  <w:num w:numId="26">
    <w:abstractNumId w:val="17"/>
  </w:num>
  <w:num w:numId="27">
    <w:abstractNumId w:val="7"/>
  </w:num>
  <w:num w:numId="28">
    <w:abstractNumId w:val="34"/>
  </w:num>
  <w:num w:numId="29">
    <w:abstractNumId w:val="5"/>
  </w:num>
  <w:num w:numId="30">
    <w:abstractNumId w:val="60"/>
  </w:num>
  <w:num w:numId="31">
    <w:abstractNumId w:val="10"/>
  </w:num>
  <w:num w:numId="32">
    <w:abstractNumId w:val="55"/>
  </w:num>
  <w:num w:numId="33">
    <w:abstractNumId w:val="59"/>
  </w:num>
  <w:num w:numId="34">
    <w:abstractNumId w:val="13"/>
  </w:num>
  <w:num w:numId="35">
    <w:abstractNumId w:val="39"/>
  </w:num>
  <w:num w:numId="36">
    <w:abstractNumId w:val="40"/>
  </w:num>
  <w:num w:numId="37">
    <w:abstractNumId w:val="19"/>
  </w:num>
  <w:num w:numId="38">
    <w:abstractNumId w:val="11"/>
  </w:num>
  <w:num w:numId="39">
    <w:abstractNumId w:val="14"/>
  </w:num>
  <w:num w:numId="40">
    <w:abstractNumId w:val="18"/>
  </w:num>
  <w:num w:numId="41">
    <w:abstractNumId w:val="36"/>
  </w:num>
  <w:num w:numId="42">
    <w:abstractNumId w:val="4"/>
  </w:num>
  <w:num w:numId="43">
    <w:abstractNumId w:val="1"/>
  </w:num>
  <w:num w:numId="44">
    <w:abstractNumId w:val="48"/>
  </w:num>
  <w:num w:numId="45">
    <w:abstractNumId w:val="12"/>
  </w:num>
  <w:num w:numId="46">
    <w:abstractNumId w:val="41"/>
  </w:num>
  <w:num w:numId="47">
    <w:abstractNumId w:val="21"/>
  </w:num>
  <w:num w:numId="48">
    <w:abstractNumId w:val="45"/>
  </w:num>
  <w:num w:numId="49">
    <w:abstractNumId w:val="49"/>
  </w:num>
  <w:num w:numId="50">
    <w:abstractNumId w:val="27"/>
  </w:num>
  <w:num w:numId="51">
    <w:abstractNumId w:val="8"/>
  </w:num>
  <w:num w:numId="52">
    <w:abstractNumId w:val="31"/>
  </w:num>
  <w:num w:numId="53">
    <w:abstractNumId w:val="2"/>
  </w:num>
  <w:num w:numId="54">
    <w:abstractNumId w:val="33"/>
  </w:num>
  <w:num w:numId="55">
    <w:abstractNumId w:val="35"/>
  </w:num>
  <w:num w:numId="56">
    <w:abstractNumId w:val="15"/>
  </w:num>
  <w:num w:numId="57">
    <w:abstractNumId w:val="58"/>
  </w:num>
  <w:num w:numId="58">
    <w:abstractNumId w:val="26"/>
  </w:num>
  <w:num w:numId="59">
    <w:abstractNumId w:val="0"/>
  </w:num>
  <w:num w:numId="60">
    <w:abstractNumId w:val="53"/>
  </w:num>
  <w:num w:numId="61">
    <w:abstractNumId w:val="20"/>
  </w:num>
  <w:num w:numId="62">
    <w:abstractNumId w:val="37"/>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19AE"/>
    <w:rsid w:val="00005A98"/>
    <w:rsid w:val="000071FB"/>
    <w:rsid w:val="00023650"/>
    <w:rsid w:val="00023C84"/>
    <w:rsid w:val="0004327D"/>
    <w:rsid w:val="000552A5"/>
    <w:rsid w:val="00077D5B"/>
    <w:rsid w:val="00081033"/>
    <w:rsid w:val="00085EAF"/>
    <w:rsid w:val="00096E74"/>
    <w:rsid w:val="000A111C"/>
    <w:rsid w:val="000A428B"/>
    <w:rsid w:val="000A763F"/>
    <w:rsid w:val="000F370F"/>
    <w:rsid w:val="000F3B98"/>
    <w:rsid w:val="000F561E"/>
    <w:rsid w:val="0012723E"/>
    <w:rsid w:val="0013501D"/>
    <w:rsid w:val="00147904"/>
    <w:rsid w:val="00170613"/>
    <w:rsid w:val="001731AF"/>
    <w:rsid w:val="00184971"/>
    <w:rsid w:val="0018562D"/>
    <w:rsid w:val="00196FBD"/>
    <w:rsid w:val="001B1C96"/>
    <w:rsid w:val="001C2B56"/>
    <w:rsid w:val="001D4B0A"/>
    <w:rsid w:val="001F0772"/>
    <w:rsid w:val="001F4344"/>
    <w:rsid w:val="00200923"/>
    <w:rsid w:val="00211B30"/>
    <w:rsid w:val="0021792A"/>
    <w:rsid w:val="00222BBC"/>
    <w:rsid w:val="00224CD1"/>
    <w:rsid w:val="00235AF1"/>
    <w:rsid w:val="0024662A"/>
    <w:rsid w:val="00265FFE"/>
    <w:rsid w:val="002860B6"/>
    <w:rsid w:val="00287D8C"/>
    <w:rsid w:val="002A552A"/>
    <w:rsid w:val="002B6930"/>
    <w:rsid w:val="002F5599"/>
    <w:rsid w:val="003003CA"/>
    <w:rsid w:val="00313E51"/>
    <w:rsid w:val="00326250"/>
    <w:rsid w:val="00327875"/>
    <w:rsid w:val="00330F54"/>
    <w:rsid w:val="00336F09"/>
    <w:rsid w:val="003472B9"/>
    <w:rsid w:val="003801C0"/>
    <w:rsid w:val="003C0F50"/>
    <w:rsid w:val="003C35D3"/>
    <w:rsid w:val="003D6D42"/>
    <w:rsid w:val="003E7B6E"/>
    <w:rsid w:val="003F2617"/>
    <w:rsid w:val="00412AC1"/>
    <w:rsid w:val="00422C3B"/>
    <w:rsid w:val="00423BCB"/>
    <w:rsid w:val="004574BB"/>
    <w:rsid w:val="004724DF"/>
    <w:rsid w:val="00481A2F"/>
    <w:rsid w:val="004A2C6E"/>
    <w:rsid w:val="004C1667"/>
    <w:rsid w:val="004D27B8"/>
    <w:rsid w:val="004D6A67"/>
    <w:rsid w:val="00504E8E"/>
    <w:rsid w:val="00514821"/>
    <w:rsid w:val="00516FF5"/>
    <w:rsid w:val="0053122B"/>
    <w:rsid w:val="00532875"/>
    <w:rsid w:val="00545A4F"/>
    <w:rsid w:val="00547393"/>
    <w:rsid w:val="005A6B01"/>
    <w:rsid w:val="005C3570"/>
    <w:rsid w:val="005D1687"/>
    <w:rsid w:val="005D25B2"/>
    <w:rsid w:val="005D2615"/>
    <w:rsid w:val="005D3CED"/>
    <w:rsid w:val="006038F0"/>
    <w:rsid w:val="006118BC"/>
    <w:rsid w:val="00621FEA"/>
    <w:rsid w:val="00622B8B"/>
    <w:rsid w:val="006245F7"/>
    <w:rsid w:val="006255C9"/>
    <w:rsid w:val="00643CB8"/>
    <w:rsid w:val="00647F3C"/>
    <w:rsid w:val="00655004"/>
    <w:rsid w:val="00670862"/>
    <w:rsid w:val="00687E40"/>
    <w:rsid w:val="006919AE"/>
    <w:rsid w:val="006A31BD"/>
    <w:rsid w:val="006C3F32"/>
    <w:rsid w:val="006E070A"/>
    <w:rsid w:val="006E1E21"/>
    <w:rsid w:val="00705597"/>
    <w:rsid w:val="00717B21"/>
    <w:rsid w:val="00721806"/>
    <w:rsid w:val="00723161"/>
    <w:rsid w:val="007430F3"/>
    <w:rsid w:val="00752F86"/>
    <w:rsid w:val="00764112"/>
    <w:rsid w:val="00776899"/>
    <w:rsid w:val="00777C3B"/>
    <w:rsid w:val="007A3DF3"/>
    <w:rsid w:val="007A680C"/>
    <w:rsid w:val="007C40C2"/>
    <w:rsid w:val="007E37C4"/>
    <w:rsid w:val="00806832"/>
    <w:rsid w:val="00866B5C"/>
    <w:rsid w:val="008757C2"/>
    <w:rsid w:val="008A3904"/>
    <w:rsid w:val="008B3252"/>
    <w:rsid w:val="008E6F77"/>
    <w:rsid w:val="009123DB"/>
    <w:rsid w:val="009131EC"/>
    <w:rsid w:val="0094745D"/>
    <w:rsid w:val="00952D9B"/>
    <w:rsid w:val="00984829"/>
    <w:rsid w:val="00985B97"/>
    <w:rsid w:val="00991203"/>
    <w:rsid w:val="0099186C"/>
    <w:rsid w:val="00993DFA"/>
    <w:rsid w:val="009A211A"/>
    <w:rsid w:val="009A3C8F"/>
    <w:rsid w:val="009B1480"/>
    <w:rsid w:val="009C1D2D"/>
    <w:rsid w:val="009F70C8"/>
    <w:rsid w:val="00A010CE"/>
    <w:rsid w:val="00A041DC"/>
    <w:rsid w:val="00A1256C"/>
    <w:rsid w:val="00A46096"/>
    <w:rsid w:val="00A86834"/>
    <w:rsid w:val="00A9640E"/>
    <w:rsid w:val="00A96D18"/>
    <w:rsid w:val="00A97B85"/>
    <w:rsid w:val="00AB0EB4"/>
    <w:rsid w:val="00AC4AC3"/>
    <w:rsid w:val="00AD0792"/>
    <w:rsid w:val="00AD77F5"/>
    <w:rsid w:val="00AE2626"/>
    <w:rsid w:val="00AF6AD4"/>
    <w:rsid w:val="00B53DF2"/>
    <w:rsid w:val="00B676BC"/>
    <w:rsid w:val="00B81200"/>
    <w:rsid w:val="00B829C8"/>
    <w:rsid w:val="00BE7741"/>
    <w:rsid w:val="00C13438"/>
    <w:rsid w:val="00C24D00"/>
    <w:rsid w:val="00C50F13"/>
    <w:rsid w:val="00C72D7D"/>
    <w:rsid w:val="00C8569C"/>
    <w:rsid w:val="00CA30BB"/>
    <w:rsid w:val="00CB05B6"/>
    <w:rsid w:val="00CC192F"/>
    <w:rsid w:val="00CD0C90"/>
    <w:rsid w:val="00CD660F"/>
    <w:rsid w:val="00D077D9"/>
    <w:rsid w:val="00D111B6"/>
    <w:rsid w:val="00D15DAC"/>
    <w:rsid w:val="00D34F98"/>
    <w:rsid w:val="00D35848"/>
    <w:rsid w:val="00D53221"/>
    <w:rsid w:val="00D55451"/>
    <w:rsid w:val="00D60F0D"/>
    <w:rsid w:val="00D7529A"/>
    <w:rsid w:val="00D97E59"/>
    <w:rsid w:val="00DD57B0"/>
    <w:rsid w:val="00DF2FF3"/>
    <w:rsid w:val="00E03F7E"/>
    <w:rsid w:val="00E1203D"/>
    <w:rsid w:val="00E21F8A"/>
    <w:rsid w:val="00E2728E"/>
    <w:rsid w:val="00E33FDE"/>
    <w:rsid w:val="00E42434"/>
    <w:rsid w:val="00E51078"/>
    <w:rsid w:val="00E5178E"/>
    <w:rsid w:val="00E63C4F"/>
    <w:rsid w:val="00E64675"/>
    <w:rsid w:val="00E7515A"/>
    <w:rsid w:val="00E84778"/>
    <w:rsid w:val="00EA7249"/>
    <w:rsid w:val="00EE3A38"/>
    <w:rsid w:val="00EE3BB8"/>
    <w:rsid w:val="00F24A71"/>
    <w:rsid w:val="00F37424"/>
    <w:rsid w:val="00F4152A"/>
    <w:rsid w:val="00F44107"/>
    <w:rsid w:val="00F51464"/>
    <w:rsid w:val="00F641F8"/>
    <w:rsid w:val="00F711CD"/>
    <w:rsid w:val="00FC408E"/>
    <w:rsid w:val="00FE5332"/>
    <w:rsid w:val="00FF7AC3"/>
    <w:rsid w:val="0250B451"/>
    <w:rsid w:val="0457E9A3"/>
    <w:rsid w:val="052BD64F"/>
    <w:rsid w:val="070A7E66"/>
    <w:rsid w:val="08166334"/>
    <w:rsid w:val="09532510"/>
    <w:rsid w:val="0AD2735B"/>
    <w:rsid w:val="0C60A188"/>
    <w:rsid w:val="110633E4"/>
    <w:rsid w:val="1243538F"/>
    <w:rsid w:val="16A8616B"/>
    <w:rsid w:val="16C1116A"/>
    <w:rsid w:val="186B1812"/>
    <w:rsid w:val="18A6F7E8"/>
    <w:rsid w:val="18EFA6A8"/>
    <w:rsid w:val="198555DB"/>
    <w:rsid w:val="1A1E1B37"/>
    <w:rsid w:val="1A3AE3F3"/>
    <w:rsid w:val="1B5483A2"/>
    <w:rsid w:val="1E51DF5E"/>
    <w:rsid w:val="1E866460"/>
    <w:rsid w:val="21D4B72B"/>
    <w:rsid w:val="21E1C73D"/>
    <w:rsid w:val="22DD23B2"/>
    <w:rsid w:val="2321EE32"/>
    <w:rsid w:val="240F0943"/>
    <w:rsid w:val="24C8B100"/>
    <w:rsid w:val="255F679F"/>
    <w:rsid w:val="258A3FA6"/>
    <w:rsid w:val="271695AD"/>
    <w:rsid w:val="278B146B"/>
    <w:rsid w:val="2829D534"/>
    <w:rsid w:val="29155A59"/>
    <w:rsid w:val="29303894"/>
    <w:rsid w:val="2A306E59"/>
    <w:rsid w:val="2A8ACFB3"/>
    <w:rsid w:val="2BA05B4C"/>
    <w:rsid w:val="2C272B0A"/>
    <w:rsid w:val="2D8302B8"/>
    <w:rsid w:val="2F7C4203"/>
    <w:rsid w:val="31372A2A"/>
    <w:rsid w:val="31C5CEF0"/>
    <w:rsid w:val="33BBB8B2"/>
    <w:rsid w:val="35310928"/>
    <w:rsid w:val="35CBBD83"/>
    <w:rsid w:val="37252DD7"/>
    <w:rsid w:val="377B554C"/>
    <w:rsid w:val="3A6CB8C4"/>
    <w:rsid w:val="3AA11E24"/>
    <w:rsid w:val="3ACE0158"/>
    <w:rsid w:val="3D54507F"/>
    <w:rsid w:val="3D5EC0FA"/>
    <w:rsid w:val="3FB85FF6"/>
    <w:rsid w:val="40659A53"/>
    <w:rsid w:val="40A7FE68"/>
    <w:rsid w:val="40ED3EE8"/>
    <w:rsid w:val="4293E694"/>
    <w:rsid w:val="458CCD43"/>
    <w:rsid w:val="459ED020"/>
    <w:rsid w:val="46929195"/>
    <w:rsid w:val="47E7B6E3"/>
    <w:rsid w:val="48E73A13"/>
    <w:rsid w:val="4B3D5D8F"/>
    <w:rsid w:val="4CCE0E54"/>
    <w:rsid w:val="4CED5932"/>
    <w:rsid w:val="4D792D88"/>
    <w:rsid w:val="4EA4CBE4"/>
    <w:rsid w:val="50A2AFEA"/>
    <w:rsid w:val="52183F97"/>
    <w:rsid w:val="527FBCD0"/>
    <w:rsid w:val="541DC8B5"/>
    <w:rsid w:val="553DB2F4"/>
    <w:rsid w:val="557A91CC"/>
    <w:rsid w:val="55F8E909"/>
    <w:rsid w:val="56058FE3"/>
    <w:rsid w:val="568F8E0F"/>
    <w:rsid w:val="573DDE0A"/>
    <w:rsid w:val="58A592BA"/>
    <w:rsid w:val="5ADC711F"/>
    <w:rsid w:val="5B82F1A0"/>
    <w:rsid w:val="5BE6D6AB"/>
    <w:rsid w:val="5BE98C47"/>
    <w:rsid w:val="5E3AB532"/>
    <w:rsid w:val="5F9BBBC4"/>
    <w:rsid w:val="62AB328D"/>
    <w:rsid w:val="644AFD5E"/>
    <w:rsid w:val="65037476"/>
    <w:rsid w:val="6577BA79"/>
    <w:rsid w:val="6624DF36"/>
    <w:rsid w:val="66714CB7"/>
    <w:rsid w:val="6804AB73"/>
    <w:rsid w:val="68DDC34B"/>
    <w:rsid w:val="691D693F"/>
    <w:rsid w:val="6931390A"/>
    <w:rsid w:val="69D3A02E"/>
    <w:rsid w:val="6A05176D"/>
    <w:rsid w:val="70723E40"/>
    <w:rsid w:val="70C83EEF"/>
    <w:rsid w:val="70F62FA3"/>
    <w:rsid w:val="71784D4B"/>
    <w:rsid w:val="724C5E1A"/>
    <w:rsid w:val="734E57EF"/>
    <w:rsid w:val="739DF293"/>
    <w:rsid w:val="741EC532"/>
    <w:rsid w:val="768EBCA5"/>
    <w:rsid w:val="768EEF7F"/>
    <w:rsid w:val="76F8AB88"/>
    <w:rsid w:val="77885051"/>
    <w:rsid w:val="78908857"/>
    <w:rsid w:val="79EEE89D"/>
    <w:rsid w:val="7A4171CF"/>
    <w:rsid w:val="7A6B8C6A"/>
    <w:rsid w:val="7B484E80"/>
    <w:rsid w:val="7D915489"/>
    <w:rsid w:val="7EFA3AEE"/>
    <w:rsid w:val="7F4FB99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CB2297"/>
  <w15:docId w15:val="{0651060B-A557-4369-9E86-551AE0FAA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CO" w:bidi="ar-SA"/>
      </w:rPr>
    </w:rPrDefault>
    <w:pPrDefault>
      <w:pPr>
        <w:spacing w:after="200"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autoRedefine/>
    <w:uiPriority w:val="9"/>
    <w:qFormat/>
    <w:rsid w:val="00A86834"/>
    <w:pPr>
      <w:keepNext/>
      <w:keepLines/>
      <w:spacing w:before="600" w:after="240"/>
      <w:jc w:val="center"/>
      <w:outlineLvl w:val="0"/>
    </w:pPr>
    <w:rPr>
      <w:b/>
      <w:bCs/>
      <w:color w:val="D09E00"/>
      <w:sz w:val="24"/>
      <w:szCs w:val="48"/>
    </w:rPr>
  </w:style>
  <w:style w:type="paragraph" w:styleId="Ttulo2">
    <w:name w:val="heading 2"/>
    <w:basedOn w:val="Normal"/>
    <w:next w:val="Normal"/>
    <w:uiPriority w:val="9"/>
    <w:unhideWhenUsed/>
    <w:qFormat/>
    <w:rsid w:val="007430F3"/>
    <w:pPr>
      <w:keepNext/>
      <w:keepLines/>
      <w:spacing w:before="360" w:after="80"/>
      <w:outlineLvl w:val="1"/>
    </w:pPr>
    <w:rPr>
      <w:b/>
      <w:bCs/>
      <w:color w:val="D09E00"/>
      <w:sz w:val="24"/>
      <w:szCs w:val="36"/>
    </w:rPr>
  </w:style>
  <w:style w:type="paragraph" w:styleId="Ttulo3">
    <w:name w:val="heading 3"/>
    <w:basedOn w:val="Normal"/>
    <w:next w:val="Normal"/>
    <w:uiPriority w:val="9"/>
    <w:unhideWhenUsed/>
    <w:qFormat/>
    <w:rsid w:val="007430F3"/>
    <w:pPr>
      <w:keepNext/>
      <w:keepLines/>
      <w:spacing w:before="280" w:after="80"/>
      <w:outlineLvl w:val="2"/>
    </w:pPr>
    <w:rPr>
      <w:b/>
      <w:bCs/>
      <w:sz w:val="24"/>
      <w:szCs w:val="28"/>
    </w:rPr>
  </w:style>
  <w:style w:type="paragraph" w:styleId="Ttulo4">
    <w:name w:val="heading 4"/>
    <w:basedOn w:val="Normal"/>
    <w:next w:val="Normal"/>
    <w:uiPriority w:val="9"/>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i/>
      <w:iCs/>
      <w:color w:val="666666"/>
      <w:sz w:val="48"/>
      <w:szCs w:val="48"/>
    </w:rPr>
  </w:style>
  <w:style w:type="paragraph" w:styleId="Prrafodelista">
    <w:name w:val="List Paragraph"/>
    <w:basedOn w:val="Normal"/>
    <w:uiPriority w:val="34"/>
    <w:qFormat/>
    <w:rsid w:val="003D6D42"/>
    <w:pPr>
      <w:ind w:left="720"/>
      <w:contextualSpacing/>
    </w:pPr>
  </w:style>
  <w:style w:type="character" w:styleId="Hipervnculo">
    <w:name w:val="Hyperlink"/>
    <w:basedOn w:val="Fuentedeprrafopredeter"/>
    <w:uiPriority w:val="99"/>
    <w:unhideWhenUsed/>
    <w:rsid w:val="006E1E21"/>
    <w:rPr>
      <w:rFonts w:ascii="Calibri" w:eastAsia="Calibri" w:hAnsi="Calibri" w:cs="Calibri"/>
      <w:color w:val="0000FF" w:themeColor="hyperlink"/>
      <w:u w:val="single"/>
    </w:rPr>
  </w:style>
  <w:style w:type="character" w:styleId="Mencinsinresolver">
    <w:name w:val="Unresolved Mention"/>
    <w:basedOn w:val="Fuentedeprrafopredeter"/>
    <w:uiPriority w:val="99"/>
    <w:semiHidden/>
    <w:unhideWhenUsed/>
    <w:rsid w:val="006E1E21"/>
    <w:rPr>
      <w:rFonts w:ascii="Calibri" w:eastAsia="Calibri" w:hAnsi="Calibri" w:cs="Calibri"/>
      <w:color w:val="605E5C"/>
      <w:shd w:val="clear" w:color="auto" w:fill="E1DFDD"/>
    </w:rPr>
  </w:style>
  <w:style w:type="character" w:customStyle="1" w:styleId="normaltextrun">
    <w:name w:val="normaltextrun"/>
    <w:basedOn w:val="Fuentedeprrafopredeter"/>
    <w:rsid w:val="006E1E21"/>
  </w:style>
  <w:style w:type="table" w:styleId="Tablaconcuadrcula1clara-nfasis6">
    <w:name w:val="Grid Table 1 Light Accent 6"/>
    <w:basedOn w:val="Tablanormal"/>
    <w:uiPriority w:val="46"/>
    <w:rsid w:val="006E1E21"/>
    <w:pPr>
      <w:spacing w:after="0"/>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rFonts w:ascii="Calibri" w:eastAsia="Calibri" w:hAnsi="Calibri" w:cs="Calibri"/>
        <w:b/>
        <w:bCs/>
      </w:rPr>
      <w:tblPr/>
      <w:tcPr>
        <w:tcBorders>
          <w:bottom w:val="single" w:sz="12" w:space="0" w:color="FABF8F" w:themeColor="accent6" w:themeTint="99"/>
        </w:tcBorders>
      </w:tcPr>
    </w:tblStylePr>
    <w:tblStylePr w:type="lastRow">
      <w:rPr>
        <w:rFonts w:ascii="Calibri" w:eastAsia="Calibri" w:hAnsi="Calibri" w:cs="Calibri"/>
        <w:b/>
        <w:bCs/>
      </w:rPr>
      <w:tblPr/>
      <w:tcPr>
        <w:tcBorders>
          <w:top w:val="double" w:sz="2" w:space="0" w:color="FABF8F" w:themeColor="accent6" w:themeTint="99"/>
        </w:tcBorders>
      </w:tcPr>
    </w:tblStylePr>
    <w:tblStylePr w:type="firstCol">
      <w:rPr>
        <w:rFonts w:ascii="Calibri" w:eastAsia="Calibri" w:hAnsi="Calibri" w:cs="Calibri"/>
        <w:b/>
        <w:bCs/>
      </w:rPr>
    </w:tblStylePr>
    <w:tblStylePr w:type="lastCol">
      <w:rPr>
        <w:rFonts w:ascii="Calibri" w:eastAsia="Calibri" w:hAnsi="Calibri" w:cs="Calibri"/>
        <w:b/>
        <w:bCs/>
      </w:rPr>
    </w:tblStylePr>
  </w:style>
  <w:style w:type="table" w:styleId="Tablaconcuadrcula4-nfasis6">
    <w:name w:val="Grid Table 4 Accent 6"/>
    <w:basedOn w:val="TableNormal"/>
    <w:uiPriority w:val="49"/>
    <w:rsid w:val="00AF6AD4"/>
    <w:pPr>
      <w:spacing w:after="0"/>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rFonts w:ascii="Calibri" w:eastAsia="Calibri" w:hAnsi="Calibri" w:cs="Calibri"/>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rFonts w:ascii="Calibri" w:eastAsia="Calibri" w:hAnsi="Calibri" w:cs="Calibri"/>
        <w:b/>
        <w:bCs/>
      </w:rPr>
      <w:tblPr/>
      <w:tcPr>
        <w:tcBorders>
          <w:top w:val="double" w:sz="4" w:space="0" w:color="F79646" w:themeColor="accent6"/>
        </w:tcBorders>
      </w:tcPr>
    </w:tblStylePr>
    <w:tblStylePr w:type="firstCol">
      <w:rPr>
        <w:rFonts w:ascii="Calibri" w:eastAsia="Calibri" w:hAnsi="Calibri" w:cs="Calibri"/>
        <w:b/>
        <w:bCs/>
      </w:rPr>
    </w:tblStylePr>
    <w:tblStylePr w:type="lastCol">
      <w:rPr>
        <w:rFonts w:ascii="Calibri" w:eastAsia="Calibri" w:hAnsi="Calibri" w:cs="Calibri"/>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Tablaconcuadrcula3-nfasis4">
    <w:name w:val="Grid Table 3 Accent 4"/>
    <w:basedOn w:val="TableNormal"/>
    <w:uiPriority w:val="48"/>
    <w:rsid w:val="009A211A"/>
    <w:pPr>
      <w:spacing w:after="0"/>
    </w:p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rFonts w:ascii="Calibri" w:eastAsia="Calibri" w:hAnsi="Calibri" w:cs="Calibri"/>
        <w:b/>
        <w:bCs/>
      </w:rPr>
      <w:tblPr/>
      <w:tcPr>
        <w:tcBorders>
          <w:top w:val="nil"/>
          <w:left w:val="nil"/>
          <w:right w:val="nil"/>
          <w:insideH w:val="nil"/>
          <w:insideV w:val="nil"/>
        </w:tcBorders>
        <w:shd w:val="clear" w:color="auto" w:fill="FFFFFF" w:themeFill="background1"/>
      </w:tcPr>
    </w:tblStylePr>
    <w:tblStylePr w:type="lastRow">
      <w:rPr>
        <w:rFonts w:ascii="Calibri" w:eastAsia="Calibri" w:hAnsi="Calibri" w:cs="Calibri"/>
        <w:b/>
        <w:bCs/>
      </w:rPr>
      <w:tblPr/>
      <w:tcPr>
        <w:tcBorders>
          <w:left w:val="nil"/>
          <w:bottom w:val="nil"/>
          <w:right w:val="nil"/>
          <w:insideH w:val="nil"/>
          <w:insideV w:val="nil"/>
        </w:tcBorders>
        <w:shd w:val="clear" w:color="auto" w:fill="FFFFFF" w:themeFill="background1"/>
      </w:tcPr>
    </w:tblStylePr>
    <w:tblStylePr w:type="firstCol">
      <w:pPr>
        <w:spacing w:line="360" w:lineRule="auto"/>
        <w:jc w:val="right"/>
      </w:pPr>
      <w:rPr>
        <w:rFonts w:ascii="Calibri" w:eastAsia="Calibri" w:hAnsi="Calibri" w:cs="Calibri"/>
        <w:i/>
        <w:iCs/>
      </w:rPr>
      <w:tblPr/>
      <w:tcPr>
        <w:tcBorders>
          <w:top w:val="nil"/>
          <w:left w:val="nil"/>
          <w:bottom w:val="nil"/>
          <w:insideH w:val="nil"/>
          <w:insideV w:val="nil"/>
        </w:tcBorders>
        <w:shd w:val="clear" w:color="auto" w:fill="FFFFFF" w:themeFill="background1"/>
      </w:tcPr>
    </w:tblStylePr>
    <w:tblStylePr w:type="lastCol">
      <w:rPr>
        <w:rFonts w:ascii="Calibri" w:eastAsia="Calibri" w:hAnsi="Calibri" w:cs="Calibri"/>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paragraph" w:styleId="TtuloTDC">
    <w:name w:val="TOC Heading"/>
    <w:basedOn w:val="Ttulo1"/>
    <w:next w:val="Normal"/>
    <w:uiPriority w:val="39"/>
    <w:unhideWhenUsed/>
    <w:qFormat/>
    <w:rsid w:val="00B676BC"/>
    <w:pPr>
      <w:spacing w:before="240" w:after="0"/>
      <w:outlineLvl w:val="9"/>
    </w:pPr>
    <w:rPr>
      <w:rFonts w:asciiTheme="majorHAnsi" w:eastAsiaTheme="majorEastAsia" w:hAnsiTheme="majorHAnsi" w:cstheme="majorBidi"/>
      <w:b w:val="0"/>
      <w:bCs w:val="0"/>
      <w:color w:val="365F91" w:themeColor="accent1" w:themeShade="BF"/>
      <w:sz w:val="32"/>
      <w:szCs w:val="32"/>
    </w:rPr>
  </w:style>
  <w:style w:type="paragraph" w:styleId="TDC1">
    <w:name w:val="toc 1"/>
    <w:basedOn w:val="Normal"/>
    <w:next w:val="Normal"/>
    <w:autoRedefine/>
    <w:uiPriority w:val="39"/>
    <w:unhideWhenUsed/>
    <w:rsid w:val="00B676BC"/>
    <w:pPr>
      <w:spacing w:after="100"/>
    </w:pPr>
  </w:style>
  <w:style w:type="paragraph" w:styleId="TDC3">
    <w:name w:val="toc 3"/>
    <w:basedOn w:val="Normal"/>
    <w:next w:val="Normal"/>
    <w:autoRedefine/>
    <w:uiPriority w:val="39"/>
    <w:unhideWhenUsed/>
    <w:rsid w:val="00023C84"/>
    <w:pPr>
      <w:spacing w:after="100"/>
      <w:ind w:left="440"/>
    </w:pPr>
  </w:style>
  <w:style w:type="paragraph" w:styleId="TDC2">
    <w:name w:val="toc 2"/>
    <w:basedOn w:val="Normal"/>
    <w:next w:val="Normal"/>
    <w:autoRedefine/>
    <w:uiPriority w:val="39"/>
    <w:unhideWhenUsed/>
    <w:rsid w:val="00023C84"/>
    <w:pPr>
      <w:spacing w:after="100"/>
      <w:ind w:left="220"/>
    </w:pPr>
  </w:style>
  <w:style w:type="table" w:styleId="Tablaconcuadrcula2-nfasis6">
    <w:name w:val="Grid Table 2 Accent 6"/>
    <w:basedOn w:val="Tablanormal"/>
    <w:uiPriority w:val="47"/>
    <w:rsid w:val="00EE3A38"/>
    <w:pPr>
      <w:spacing w:after="0"/>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rFonts w:ascii="Calibri" w:eastAsia="Calibri" w:hAnsi="Calibri" w:cs="Calibri"/>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rFonts w:ascii="Calibri" w:eastAsia="Calibri" w:hAnsi="Calibri" w:cs="Calibri"/>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rFonts w:ascii="Calibri" w:eastAsia="Calibri" w:hAnsi="Calibri" w:cs="Calibri"/>
        <w:b/>
        <w:bCs/>
      </w:rPr>
    </w:tblStylePr>
    <w:tblStylePr w:type="lastCol">
      <w:rPr>
        <w:rFonts w:ascii="Calibri" w:eastAsia="Calibri" w:hAnsi="Calibri" w:cs="Calibri"/>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Tablaconcuadrcula">
    <w:name w:val="Table Grid"/>
    <w:basedOn w:val="Tablanormal"/>
    <w:uiPriority w:val="39"/>
    <w:rsid w:val="00516FF5"/>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lista2-nfasis6">
    <w:name w:val="List Table 2 Accent 6"/>
    <w:basedOn w:val="Tablanormal"/>
    <w:uiPriority w:val="47"/>
    <w:rsid w:val="00516FF5"/>
    <w:pPr>
      <w:spacing w:after="0"/>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rFonts w:ascii="Calibri" w:eastAsia="Calibri" w:hAnsi="Calibri" w:cs="Calibri"/>
        <w:b/>
        <w:bCs/>
      </w:rPr>
    </w:tblStylePr>
    <w:tblStylePr w:type="lastRow">
      <w:rPr>
        <w:rFonts w:ascii="Calibri" w:eastAsia="Calibri" w:hAnsi="Calibri" w:cs="Calibri"/>
        <w:b/>
        <w:bCs/>
      </w:rPr>
    </w:tblStylePr>
    <w:tblStylePr w:type="firstCol">
      <w:rPr>
        <w:rFonts w:ascii="Calibri" w:eastAsia="Calibri" w:hAnsi="Calibri" w:cs="Calibri"/>
        <w:b/>
        <w:bCs/>
      </w:rPr>
    </w:tblStylePr>
    <w:tblStylePr w:type="lastCol">
      <w:rPr>
        <w:rFonts w:ascii="Calibri" w:eastAsia="Calibri" w:hAnsi="Calibri" w:cs="Calibri"/>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styleId="Textonotapie">
    <w:name w:val="footnote text"/>
    <w:basedOn w:val="Normal"/>
    <w:link w:val="TextonotapieCar"/>
    <w:uiPriority w:val="99"/>
    <w:semiHidden/>
    <w:unhideWhenUsed/>
    <w:rsid w:val="00993DFA"/>
    <w:pPr>
      <w:spacing w:after="0"/>
    </w:pPr>
    <w:rPr>
      <w:sz w:val="20"/>
      <w:szCs w:val="20"/>
    </w:rPr>
  </w:style>
  <w:style w:type="character" w:customStyle="1" w:styleId="TextonotapieCar">
    <w:name w:val="Texto nota pie Car"/>
    <w:basedOn w:val="Fuentedeprrafopredeter"/>
    <w:link w:val="Textonotapie"/>
    <w:uiPriority w:val="99"/>
    <w:semiHidden/>
    <w:rsid w:val="00993DFA"/>
    <w:rPr>
      <w:rFonts w:ascii="Calibri" w:eastAsia="Calibri" w:hAnsi="Calibri" w:cs="Calibri"/>
      <w:sz w:val="20"/>
      <w:szCs w:val="20"/>
    </w:rPr>
  </w:style>
  <w:style w:type="character" w:styleId="Refdenotaalpie">
    <w:name w:val="footnote reference"/>
    <w:basedOn w:val="Fuentedeprrafopredeter"/>
    <w:uiPriority w:val="99"/>
    <w:semiHidden/>
    <w:unhideWhenUsed/>
    <w:rsid w:val="00993DFA"/>
    <w:rPr>
      <w:rFonts w:ascii="Calibri" w:eastAsia="Calibri" w:hAnsi="Calibri" w:cs="Calibri"/>
      <w:vertAlign w:val="superscript"/>
    </w:rPr>
  </w:style>
  <w:style w:type="paragraph" w:styleId="NormalWeb">
    <w:name w:val="Normal (Web)"/>
    <w:basedOn w:val="Normal"/>
    <w:uiPriority w:val="99"/>
    <w:unhideWhenUsed/>
    <w:rsid w:val="00E51078"/>
    <w:pPr>
      <w:spacing w:before="100" w:beforeAutospacing="1" w:after="100" w:afterAutospacing="1"/>
    </w:pPr>
    <w:rPr>
      <w:sz w:val="24"/>
      <w:szCs w:val="24"/>
    </w:rPr>
  </w:style>
  <w:style w:type="character" w:styleId="nfasis">
    <w:name w:val="Emphasis"/>
    <w:basedOn w:val="Fuentedeprrafopredeter"/>
    <w:uiPriority w:val="20"/>
    <w:qFormat/>
    <w:rsid w:val="00E51078"/>
    <w:rPr>
      <w:rFonts w:ascii="Calibri" w:eastAsia="Calibri" w:hAnsi="Calibri" w:cs="Calibri"/>
      <w:i/>
      <w:iCs/>
    </w:rPr>
  </w:style>
  <w:style w:type="paragraph" w:styleId="TDC4">
    <w:name w:val="toc 4"/>
    <w:basedOn w:val="Normal"/>
    <w:next w:val="Normal"/>
    <w:autoRedefine/>
    <w:uiPriority w:val="39"/>
    <w:unhideWhenUsed/>
    <w:rsid w:val="004574BB"/>
    <w:pPr>
      <w:spacing w:after="100"/>
      <w:ind w:left="660"/>
    </w:pPr>
    <w:rPr>
      <w:rFonts w:asciiTheme="minorHAnsi" w:eastAsiaTheme="minorEastAsia" w:hAnsiTheme="minorHAnsi" w:cstheme="minorBidi"/>
    </w:rPr>
  </w:style>
  <w:style w:type="paragraph" w:styleId="TDC5">
    <w:name w:val="toc 5"/>
    <w:basedOn w:val="Normal"/>
    <w:next w:val="Normal"/>
    <w:autoRedefine/>
    <w:uiPriority w:val="39"/>
    <w:unhideWhenUsed/>
    <w:rsid w:val="004574BB"/>
    <w:pPr>
      <w:spacing w:after="100"/>
      <w:ind w:left="880"/>
    </w:pPr>
    <w:rPr>
      <w:rFonts w:asciiTheme="minorHAnsi" w:eastAsiaTheme="minorEastAsia" w:hAnsiTheme="minorHAnsi" w:cstheme="minorBidi"/>
    </w:rPr>
  </w:style>
  <w:style w:type="paragraph" w:styleId="TDC6">
    <w:name w:val="toc 6"/>
    <w:basedOn w:val="Normal"/>
    <w:next w:val="Normal"/>
    <w:autoRedefine/>
    <w:uiPriority w:val="39"/>
    <w:unhideWhenUsed/>
    <w:rsid w:val="004574BB"/>
    <w:pPr>
      <w:spacing w:after="100"/>
      <w:ind w:left="1100"/>
    </w:pPr>
    <w:rPr>
      <w:rFonts w:asciiTheme="minorHAnsi" w:eastAsiaTheme="minorEastAsia" w:hAnsiTheme="minorHAnsi" w:cstheme="minorBidi"/>
    </w:rPr>
  </w:style>
  <w:style w:type="paragraph" w:styleId="TDC7">
    <w:name w:val="toc 7"/>
    <w:basedOn w:val="Normal"/>
    <w:next w:val="Normal"/>
    <w:autoRedefine/>
    <w:uiPriority w:val="39"/>
    <w:unhideWhenUsed/>
    <w:rsid w:val="004574BB"/>
    <w:pPr>
      <w:spacing w:after="100"/>
      <w:ind w:left="1320"/>
    </w:pPr>
    <w:rPr>
      <w:rFonts w:asciiTheme="minorHAnsi" w:eastAsiaTheme="minorEastAsia" w:hAnsiTheme="minorHAnsi" w:cstheme="minorBidi"/>
    </w:rPr>
  </w:style>
  <w:style w:type="paragraph" w:styleId="TDC8">
    <w:name w:val="toc 8"/>
    <w:basedOn w:val="Normal"/>
    <w:next w:val="Normal"/>
    <w:autoRedefine/>
    <w:uiPriority w:val="39"/>
    <w:unhideWhenUsed/>
    <w:rsid w:val="004574BB"/>
    <w:pPr>
      <w:spacing w:after="100"/>
      <w:ind w:left="1540"/>
    </w:pPr>
    <w:rPr>
      <w:rFonts w:asciiTheme="minorHAnsi" w:eastAsiaTheme="minorEastAsia" w:hAnsiTheme="minorHAnsi" w:cstheme="minorBidi"/>
    </w:rPr>
  </w:style>
  <w:style w:type="paragraph" w:styleId="TDC9">
    <w:name w:val="toc 9"/>
    <w:basedOn w:val="Normal"/>
    <w:next w:val="Normal"/>
    <w:autoRedefine/>
    <w:uiPriority w:val="39"/>
    <w:unhideWhenUsed/>
    <w:rsid w:val="004574BB"/>
    <w:pPr>
      <w:spacing w:after="100"/>
      <w:ind w:left="1760"/>
    </w:pPr>
    <w:rPr>
      <w:rFonts w:asciiTheme="minorHAnsi" w:eastAsiaTheme="minorEastAsia" w:hAnsiTheme="minorHAnsi" w:cstheme="minorBidi"/>
    </w:rPr>
  </w:style>
  <w:style w:type="paragraph" w:styleId="Encabezado">
    <w:name w:val="header"/>
    <w:basedOn w:val="Normal"/>
    <w:link w:val="EncabezadoCar"/>
    <w:uiPriority w:val="99"/>
    <w:unhideWhenUsed/>
    <w:rsid w:val="00E03F7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03F7E"/>
  </w:style>
  <w:style w:type="paragraph" w:styleId="Piedepgina">
    <w:name w:val="footer"/>
    <w:basedOn w:val="Normal"/>
    <w:link w:val="PiedepginaCar"/>
    <w:uiPriority w:val="99"/>
    <w:unhideWhenUsed/>
    <w:rsid w:val="00E03F7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03F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9665283">
      <w:bodyDiv w:val="1"/>
      <w:marLeft w:val="0"/>
      <w:marRight w:val="0"/>
      <w:marTop w:val="0"/>
      <w:marBottom w:val="0"/>
      <w:divBdr>
        <w:top w:val="none" w:sz="0" w:space="0" w:color="auto"/>
        <w:left w:val="none" w:sz="0" w:space="0" w:color="auto"/>
        <w:bottom w:val="none" w:sz="0" w:space="0" w:color="auto"/>
        <w:right w:val="none" w:sz="0" w:space="0" w:color="auto"/>
      </w:divBdr>
    </w:div>
    <w:div w:id="18904186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minenergia.gov.co/documents/11801/Plan_Estrat%C3%A9gico_Sectorial_Mina_y_Energ%C3%ADa.pdf" TargetMode="External"/><Relationship Id="rId21" Type="http://schemas.openxmlformats.org/officeDocument/2006/relationships/hyperlink" Target="https://www.defensoria.gov.co/-/conflictos-sociales-en-el-sector-minero-energ%C3%A9tico-aumentaron-un-46-durante-el-2023-en-colombia" TargetMode="External"/><Relationship Id="rId42" Type="http://schemas.openxmlformats.org/officeDocument/2006/relationships/hyperlink" Target="https://www.oecd.org/en/publications/oecd-environmental-performance-reviews-colombia-2026_968398f7-en/full-report/assessment-and-recommendations_cf339438.html" TargetMode="External"/><Relationship Id="rId47" Type="http://schemas.openxmlformats.org/officeDocument/2006/relationships/hyperlink" Target="https://taicollaborative.org/exploring-barriers-to-data-use-in-colombias-mining-sector" TargetMode="External"/><Relationship Id="rId63" Type="http://schemas.openxmlformats.org/officeDocument/2006/relationships/hyperlink" Target="https://marxismocritico.com/2018/09/18/que-es-la-teoria-de-la-reproduccion-social/" TargetMode="External"/><Relationship Id="rId68" Type="http://schemas.openxmlformats.org/officeDocument/2006/relationships/hyperlink" Target="https://doi.org/10.32870/lv.v7i60.7976" TargetMode="External"/><Relationship Id="rId84" Type="http://schemas.openxmlformats.org/officeDocument/2006/relationships/hyperlink" Target="https://www.youtube.com/watch?v=lNnxjUTdUZg" TargetMode="External"/><Relationship Id="rId89"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posiciones/Proposici%C3%B3n%20036%20de%202025%20-%20Situaci%C3%B3n%20del%20gas%20natural.pdf?csf=1&amp;web=1&amp;e=ab5h6i" TargetMode="External"/><Relationship Id="rId16" Type="http://schemas.openxmlformats.org/officeDocument/2006/relationships/hyperlink" Target="https://www.anm.gov.co/sites/default/files/Cartilla_mineria_para_la_vida-diciembre_2022.pdf" TargetMode="External"/><Relationship Id="rId11" Type="http://schemas.openxmlformats.org/officeDocument/2006/relationships/header" Target="header1.xml"/><Relationship Id="rId32" Type="http://schemas.openxmlformats.org/officeDocument/2006/relationships/hyperlink" Target="https://www.minenergia.gov.co/documents/14804/Informe_de_Gestion_Administrativa_MME_2025-V2.pdf" TargetMode="External"/><Relationship Id="rId37" Type="http://schemas.openxmlformats.org/officeDocument/2006/relationships/hyperlink" Target="https://www.semana.com/economia/empresas/articulo/mineria-en-colombia-empresarios-reclaman-estabilidad-juridica-en-medio-de-impuestos-trabas-y-violencia/202509/" TargetMode="External"/><Relationship Id="rId53" Type="http://schemas.openxmlformats.org/officeDocument/2006/relationships/hyperlink" Target="https://www.sciencedirect.com/science/article/abs/pii/S0360544215004594" TargetMode="External"/><Relationship Id="rId58" Type="http://schemas.openxmlformats.org/officeDocument/2006/relationships/hyperlink" Target="https://www.youtube.com/watch?v=qizFlczGEug&amp;t=22185s" TargetMode="External"/><Relationship Id="rId74" Type="http://schemas.openxmlformats.org/officeDocument/2006/relationships/image" Target="media/image7.png"/><Relationship Id="rId79" Type="http://schemas.openxmlformats.org/officeDocument/2006/relationships/image" Target="media/image12.png"/><Relationship Id="rId102" Type="http://schemas.openxmlformats.org/officeDocument/2006/relationships/hyperlink" Target="https://www.worldbank.org" TargetMode="External"/><Relationship Id="rId5" Type="http://schemas.openxmlformats.org/officeDocument/2006/relationships/numbering" Target="numbering.xml"/><Relationship Id="rId90"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posiciones/Proposici%C3%B3n%20191%20de%202025%20-%20Cierre%20PRODECO.pdf?csf=1&amp;web=1&amp;e=DPY6RE" TargetMode="External"/><Relationship Id="rId95"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yectos%20de%20ley%20asociados%20a%20TEJ/PL%20294%20de%202025%20-%20Prohibici%C3%B3n%20de%20fracking.pdf?csf=1&amp;web=1&amp;e=8naVAi" TargetMode="External"/><Relationship Id="rId22" Type="http://schemas.openxmlformats.org/officeDocument/2006/relationships/hyperlink" Target="https://www.eltiempo.com/economia/sectores/cerca-del-50-de-las-empresas-mineras-quieren-reducir-operaciones-en-colombia-3336130" TargetMode="External"/><Relationship Id="rId27" Type="http://schemas.openxmlformats.org/officeDocument/2006/relationships/hyperlink" Target="https://www.minenergia.gov.co/documents/11801/Plan_Estrat%C3%A9gico_Sectorial_Mina_y_Energ%C3%ADa.pdf" TargetMode="External"/><Relationship Id="rId43" Type="http://schemas.openxmlformats.org/officeDocument/2006/relationships/hyperlink" Target="https://www.oecd.org/en/publications/oecd-environmental-performance-reviews-colombia-2026_968398f7-en/full-report/assessment-and-recommendations_cf339438.html" TargetMode="External"/><Relationship Id="rId48" Type="http://schemas.openxmlformats.org/officeDocument/2006/relationships/hyperlink" Target="https://taicollaborative.org/exploring-barriers-to-data-use-in-colombias-mining-sector" TargetMode="External"/><Relationship Id="rId64" Type="http://schemas.openxmlformats.org/officeDocument/2006/relationships/hyperlink" Target="https://newleftreview.es/issues/21/articles/robert-brenner-mark-glick-la-escuela-de-la-regulacion-teoria-e-historia.pdf" TargetMode="External"/><Relationship Id="rId69" Type="http://schemas.openxmlformats.org/officeDocument/2006/relationships/hyperlink" Target="https://www.ilo.org/es/resource/resolucion-de-modificacion-de-la-resolucion-sobre-las-estadisticas-del-1" TargetMode="External"/><Relationship Id="rId80" Type="http://schemas.openxmlformats.org/officeDocument/2006/relationships/image" Target="media/image13.png"/><Relationship Id="rId85"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posiciones/Proposici%C3%B3n%20013%20de%202024%20%E2%80%93%20TEJ%20y%20abastecimiento%20de%20gas.pdf?csf=1&amp;web=1&amp;e=207UKu" TargetMode="External"/><Relationship Id="rId12" Type="http://schemas.openxmlformats.org/officeDocument/2006/relationships/footer" Target="footer1.xml"/><Relationship Id="rId17" Type="http://schemas.openxmlformats.org/officeDocument/2006/relationships/hyperlink" Target="https://mineriaencolombia.anm.gov.co/sites/default/files/docupromocion/Cartilla%20diciembre%202024.pdf" TargetMode="External"/><Relationship Id="rId25" Type="http://schemas.openxmlformats.org/officeDocument/2006/relationships/hyperlink" Target="https://repositorio.uasb.edu.ec/bitstream/10644/2802/1/RAA-28%20Gustavo%20Esteva%2C%20M%C3%A1s%20all%C3%A1%20del%20desarrollo....pdf" TargetMode="External"/><Relationship Id="rId33" Type="http://schemas.openxmlformats.org/officeDocument/2006/relationships/hyperlink" Target="https://www.minenergia.gov.co/documents/14804/Informe_de_Gestion_Administrativa_MME_2025-V2.pdf" TargetMode="External"/><Relationship Id="rId38" Type="http://schemas.openxmlformats.org/officeDocument/2006/relationships/hyperlink" Target="https://taicollaborative.org/exploring-barriers-to-data-use-in-colombias-mining-sector" TargetMode="External"/><Relationship Id="rId46" Type="http://schemas.openxmlformats.org/officeDocument/2006/relationships/hyperlink" Target="https://www.redalyc.org/pdf/459/45955901010.pdf" TargetMode="External"/><Relationship Id="rId59" Type="http://schemas.openxmlformats.org/officeDocument/2006/relationships/hyperlink" Target="https://www.gub.uy/ministerio-industria-energia-mineria/institucional/creacion-evolucion-historica" TargetMode="External"/><Relationship Id="rId67" Type="http://schemas.openxmlformats.org/officeDocument/2006/relationships/hyperlink" Target="https://repositorio.iberopuebla.mx/handle/20.500.11777/6331" TargetMode="External"/><Relationship Id="rId103" Type="http://schemas.openxmlformats.org/officeDocument/2006/relationships/fontTable" Target="fontTable.xml"/><Relationship Id="rId20" Type="http://schemas.openxmlformats.org/officeDocument/2006/relationships/hyperlink" Target="https://www.defensoria.gov.co/-/conflictos-sociales-en-el-sector-minero-energ%C3%A9tico-aumentaron-un-46-durante-el-2023-en-colombia" TargetMode="External"/><Relationship Id="rId41" Type="http://schemas.openxmlformats.org/officeDocument/2006/relationships/hyperlink" Target="https://mining.transparency.org.au/wp-content/uploads/2025/03/TIA_Critical-Minerals-Global-Report_Web_12-March-1.pdf" TargetMode="External"/><Relationship Id="rId54" Type="http://schemas.openxmlformats.org/officeDocument/2006/relationships/hyperlink" Target="https://www.bundeswirtschaftsministerium.de/Redaktion/DE/Downloads/M-O/organisationsplan-bundeswirtschaftsministerium.pdf?__blob=publicationFile&amp;v=1" TargetMode="External"/><Relationship Id="rId62" Type="http://schemas.openxmlformats.org/officeDocument/2006/relationships/hyperlink" Target="https://ru.iiec.unam.mx/2462/1/FundamentosDeEconomiaSecuenciaCorrecta.pdf" TargetMode="External"/><Relationship Id="rId70" Type="http://schemas.openxmlformats.org/officeDocument/2006/relationships/hyperlink" Target="https://www.environmentandsociety.org/sites/default/files/key_docs/sieferle.pdf" TargetMode="External"/><Relationship Id="rId75" Type="http://schemas.openxmlformats.org/officeDocument/2006/relationships/image" Target="media/image8.png"/><Relationship Id="rId83"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posiciones/Proposici%C3%B3n%20011%20de%202024%20%E2%80%93%20Tarifas%20en%20el%20servicio%20de%20energ%C3%ADa%20el%C3%A9ctrica%20(parte%202).pdf?csf=1&amp;web=1&amp;e=cjz8ZL" TargetMode="External"/><Relationship Id="rId88"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posiciones/Proposici%C3%B3n%20033%20de%202025%20-%20Informe%20sector%20minero.pdf?csf=1&amp;web=1&amp;e=3Zek3q" TargetMode="External"/><Relationship Id="rId91"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yectos%20de%20ley%20asociados%20a%20TEJ/PL%20134%20de%202024.pdf?csf=1&amp;web=1&amp;e=BX4bWg" TargetMode="External"/><Relationship Id="rId96"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yectos%20de%20ley%20asociados%20a%20TEJ/PL%20282%20de%202025%20-%20Nueva%20ley%20minera.pdf?csf=1&amp;web=1&amp;e=ifiQQ4"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anm.gov.co/sites/default/files/Cartilla_mineria_para_la_vida-diciembre_2022.pdf" TargetMode="External"/><Relationship Id="rId23" Type="http://schemas.openxmlformats.org/officeDocument/2006/relationships/hyperlink" Target="https://www.eltiempo.com/economia/sectores/cerca-del-50-de-las-empresas-mineras-quieren-reducir-operaciones-en-colombia-3336130" TargetMode="External"/><Relationship Id="rId28" Type="http://schemas.openxmlformats.org/officeDocument/2006/relationships/hyperlink" Target="https://www.minenergia.gov.co/documents/12320/Memorias_al_Congreso_de_la_Republica_2023-2024.pdf" TargetMode="External"/><Relationship Id="rId36" Type="http://schemas.openxmlformats.org/officeDocument/2006/relationships/hyperlink" Target="https://www.semana.com/economia/empresas/articulo/mineria-en-colombia-empresarios-reclaman-estabilidad-juridica-en-medio-de-impuestos-trabas-y-violencia/202509/" TargetMode="External"/><Relationship Id="rId49" Type="http://schemas.openxmlformats.org/officeDocument/2006/relationships/hyperlink" Target="https://mining.transparency.org.au/wp-content/uploads/2025/03/TIA_Critical-Minerals-Global-Report_Web_12-March-1.pdf" TargetMode="External"/><Relationship Id="rId57" Type="http://schemas.openxmlformats.org/officeDocument/2006/relationships/hyperlink" Target="https://fundacionivy.org/wp-content/uploads/2025/10/INFORME-COLOMBIA-IVY-POLEN-REV12-21-10-2025-1.pdf" TargetMode="External"/><Relationship Id="rId10" Type="http://schemas.openxmlformats.org/officeDocument/2006/relationships/endnotes" Target="endnotes.xml"/><Relationship Id="rId31" Type="http://schemas.openxmlformats.org/officeDocument/2006/relationships/hyperlink" Target="https://www.minenergia.gov.co/documents/12560/Estrategia_de_Comunicacion_MInEnergia_2024.pdf" TargetMode="External"/><Relationship Id="rId44" Type="http://schemas.openxmlformats.org/officeDocument/2006/relationships/hyperlink" Target="https://www.semana.com/economia/empresas/articulo/mineria-en-colombia-empresarios-reclaman-estabilidad-juridica-en-medio-de-impuestos-trabas-y-violencia/202509/" TargetMode="External"/><Relationship Id="rId52" Type="http://schemas.openxmlformats.org/officeDocument/2006/relationships/image" Target="media/image3.png"/><Relationship Id="rId60" Type="http://schemas.openxmlformats.org/officeDocument/2006/relationships/hyperlink" Target="https://www.gub.uy/ministerio-industria-energia-mineria/institucional/estructura-del-organismo" TargetMode="External"/><Relationship Id="rId65" Type="http://schemas.openxmlformats.org/officeDocument/2006/relationships/hyperlink" Target="https://mediationsjournal.org/files/Mediations31_2.pdf" TargetMode="External"/><Relationship Id="rId73" Type="http://schemas.openxmlformats.org/officeDocument/2006/relationships/image" Target="media/image6.png"/><Relationship Id="rId78" Type="http://schemas.openxmlformats.org/officeDocument/2006/relationships/image" Target="media/image11.png"/><Relationship Id="rId81" Type="http://schemas.openxmlformats.org/officeDocument/2006/relationships/hyperlink" Target="https://www.youtube.com/watch?v=_zrGDJNUG7c" TargetMode="External"/><Relationship Id="rId86"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posiciones/Proposici%C3%B3n%20014%20de%202025%20%E2%80%93%20Presupuesto%20sector%20minero-energ%C3%A9tico.pdf?csf=1&amp;web=1&amp;e=lBaBOg" TargetMode="External"/><Relationship Id="rId94"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yectos%20de%20ley%20asociados%20a%20TEJ/PL%20176%20de%202025%20-%20biogas.pdf?csf=1&amp;web=1&amp;e=0loChA" TargetMode="External"/><Relationship Id="rId99" Type="http://schemas.openxmlformats.org/officeDocument/2006/relationships/hyperlink" Target="https://www.iea.org" TargetMode="External"/><Relationship Id="rId101" Type="http://schemas.openxmlformats.org/officeDocument/2006/relationships/hyperlink" Target="https://www.worldbank.org"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taicollaborative.org/exploring-barriers-to-data-use-in-colombias-mining-sector" TargetMode="External"/><Relationship Id="rId18" Type="http://schemas.openxmlformats.org/officeDocument/2006/relationships/hyperlink" Target="https://mineriaencolombia.anm.gov.co/sites/default/files/docupromocion/Cartilla%20diciembre%202024.pdf" TargetMode="External"/><Relationship Id="rId39" Type="http://schemas.openxmlformats.org/officeDocument/2006/relationships/hyperlink" Target="https://taicollaborative.org/exploring-barriers-to-data-use-in-colombias-mining-sector" TargetMode="External"/><Relationship Id="rId34" Type="http://schemas.openxmlformats.org/officeDocument/2006/relationships/hyperlink" Target="https://www.oecd.org/en/publications/oecd-environmental-performance-reviews-colombia-2026_968398f7-en/full-report/assessment-and-recommendations_cf339438.html" TargetMode="External"/><Relationship Id="rId50" Type="http://schemas.openxmlformats.org/officeDocument/2006/relationships/hyperlink" Target="https://mining.transparency.org.au/wp-content/uploads/2025/03/TIA_Critical-Minerals-Global-Report_Web_12-March-1.pdf" TargetMode="External"/><Relationship Id="rId55" Type="http://schemas.openxmlformats.org/officeDocument/2006/relationships/hyperlink" Target="https://link.springer.com/article/10.1007/s41825-018-0010-2" TargetMode="External"/><Relationship Id="rId76" Type="http://schemas.openxmlformats.org/officeDocument/2006/relationships/image" Target="media/image9.png"/><Relationship Id="rId97" Type="http://schemas.openxmlformats.org/officeDocument/2006/relationships/hyperlink" Target="https://www.dnp.gov.co" TargetMode="External"/><Relationship Id="rId10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4.png"/><Relationship Id="rId92"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yectos%20de%20ley%20asociados%20a%20TEJ/PL%20224%20de%202024%20-%20Ley%20de%20econom%C3%ADa%20azul.pdf?csf=1&amp;web=1&amp;e=hFoKrm" TargetMode="External"/><Relationship Id="rId2" Type="http://schemas.openxmlformats.org/officeDocument/2006/relationships/customXml" Target="../customXml/item2.xml"/><Relationship Id="rId29" Type="http://schemas.openxmlformats.org/officeDocument/2006/relationships/hyperlink" Target="https://www.minenergia.gov.co/documents/12320/Memorias_al_Congreso_de_la_Republica_2023-2024.pdf" TargetMode="External"/><Relationship Id="rId24" Type="http://schemas.openxmlformats.org/officeDocument/2006/relationships/hyperlink" Target="https://repositorio.uasb.edu.ec/bitstream/10644/2802/1/RAA-28%20Gustavo%20Esteva%2C%20M%C3%A1s%20all%C3%A1%20del%20desarrollo....pdf" TargetMode="External"/><Relationship Id="rId40" Type="http://schemas.openxmlformats.org/officeDocument/2006/relationships/hyperlink" Target="https://mining.transparency.org.au/wp-content/uploads/2025/03/TIA_Critical-Minerals-Global-Report_Web_12-March-1.pdf" TargetMode="External"/><Relationship Id="rId45" Type="http://schemas.openxmlformats.org/officeDocument/2006/relationships/hyperlink" Target="https://www.semana.com/economia/empresas/articulo/mineria-en-colombia-empresarios-reclaman-estabilidad-juridica-en-medio-de-impuestos-trabas-y-violencia/202509/" TargetMode="External"/><Relationship Id="rId66" Type="http://schemas.openxmlformats.org/officeDocument/2006/relationships/hyperlink" Target="https://doi.org/10.46468/rsaap.15.2.I" TargetMode="External"/><Relationship Id="rId87"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posiciones/Proposici%C3%B3n%20023%20de%202025%20%E2%80%93%20Avances%20en%20la%20TEJ.pdf?csf=1&amp;web=1&amp;e=pdq6iu" TargetMode="External"/><Relationship Id="rId61" Type="http://schemas.openxmlformats.org/officeDocument/2006/relationships/hyperlink" Target="https://doi.org/10.4067/S0717-554X2017000200221" TargetMode="External"/><Relationship Id="rId82"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posiciones/Proposici%C3%B3n%20011%20de%202024%20%E2%80%93%20Tarifas%20en%20el%20servicio%20de%20energ%C3%ADa%20el%C3%A9ctrica%20(parte%201).pdf?csf=1&amp;web=1&amp;e=XgjiDK" TargetMode="External"/><Relationship Id="rId19" Type="http://schemas.openxmlformats.org/officeDocument/2006/relationships/hyperlink" Target="https://www.suin-juriscol.gov.co/viewDocument.asp?ruta=Decretos%2F30050718&amp;utm_source=chatgpt.com" TargetMode="External"/><Relationship Id="rId14" Type="http://schemas.openxmlformats.org/officeDocument/2006/relationships/hyperlink" Target="https://www.semana.com/economia/empresas/articulo/mineria-en-colombia-empresarios-reclaman-estabilidad-juridica-en-medio-de-impuestos-trabas-y-violencia/202509/" TargetMode="External"/><Relationship Id="rId30" Type="http://schemas.openxmlformats.org/officeDocument/2006/relationships/hyperlink" Target="https://www.minenergia.gov.co/documents/12560/Estrategia_de_Comunicacion_MInEnergia_2024.pdf" TargetMode="External"/><Relationship Id="rId35" Type="http://schemas.openxmlformats.org/officeDocument/2006/relationships/hyperlink" Target="https://www.oecd.org/en/publications/oecd-environmental-performance-reviews-colombia-2026_968398f7-en/full-report/assessment-and-recommendations_cf339438.html" TargetMode="External"/><Relationship Id="rId56" Type="http://schemas.openxmlformats.org/officeDocument/2006/relationships/hyperlink" Target="https://ember-energy.org/data/electricity-data-explorer/?entity=Uruguay&amp;metric=pct_share&amp;data=capacity&amp;temporal_res=yearly" TargetMode="External"/><Relationship Id="rId77" Type="http://schemas.openxmlformats.org/officeDocument/2006/relationships/image" Target="media/image10.png"/><Relationship Id="rId100" Type="http://schemas.openxmlformats.org/officeDocument/2006/relationships/hyperlink" Target="https://www.oecd.org" TargetMode="External"/><Relationship Id="rId8" Type="http://schemas.openxmlformats.org/officeDocument/2006/relationships/webSettings" Target="webSettings.xml"/><Relationship Id="rId51" Type="http://schemas.openxmlformats.org/officeDocument/2006/relationships/hyperlink" Target="https://docs.upme.gov.co/SIMEC/SIMCO/PlaneacionSector/Documents/Plan_Nacional_Desarrollo_Minero_Fase_III_v2_abril_2026.pdf" TargetMode="External"/><Relationship Id="rId72" Type="http://schemas.openxmlformats.org/officeDocument/2006/relationships/image" Target="media/image5.png"/><Relationship Id="rId93" Type="http://schemas.openxmlformats.org/officeDocument/2006/relationships/hyperlink" Target="https://minenergiacol.sharepoint.com/:b:/r/sites/GrupoAsuntosLegislativos/Shared%20Documents/General/LEG%202025-2026/Contrataci%C3%B3n%20GAL/CUENTAS%20DE%20COBRO/CLAUDIA%20MARCELA%20PINZ%C3%93N/Mayo%202026/Proyecto%20de%20inversi%C3%B3n/recolecci%C3%B3n%20documental/proyectos%20de%20ley%20asociados%20a%20TEJ/PL%20134%20de%202024%20-%20Integraci%C3%B3n%20vertical.pdf?csf=1&amp;web=1&amp;e=ywjegF" TargetMode="External"/><Relationship Id="rId98" Type="http://schemas.openxmlformats.org/officeDocument/2006/relationships/hyperlink" Target="https://www.dnp.gov.co" TargetMode="Externa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b82d92b-cce1-4865-9e40-015a6266df31" xsi:nil="true"/>
    <lcf76f155ced4ddcb4097134ff3c332f xmlns="38d40274-ed19-48ce-a15e-e059463c177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5CCD901C4501449A86A24F4F0AC0678" ma:contentTypeVersion="18" ma:contentTypeDescription="Create a new document." ma:contentTypeScope="" ma:versionID="0dfda8942a5c79331ee6e0d1f814189e">
  <xsd:schema xmlns:xsd="http://www.w3.org/2001/XMLSchema" xmlns:xs="http://www.w3.org/2001/XMLSchema" xmlns:p="http://schemas.microsoft.com/office/2006/metadata/properties" xmlns:ns2="38d40274-ed19-48ce-a15e-e059463c1775" xmlns:ns3="fb82d92b-cce1-4865-9e40-015a6266df31" targetNamespace="http://schemas.microsoft.com/office/2006/metadata/properties" ma:root="true" ma:fieldsID="4d313df37cc51e578daa7f6737a4aa7e" ns2:_="" ns3:_="">
    <xsd:import namespace="38d40274-ed19-48ce-a15e-e059463c1775"/>
    <xsd:import namespace="fb82d92b-cce1-4865-9e40-015a6266df3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DateTaken"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d40274-ed19-48ce-a15e-e059463c17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b82d92b-cce1-4865-9e40-015a6266df3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62cf36f9-85c4-45f3-b290-a3d33fbf27e1}" ma:internalName="TaxCatchAll" ma:showField="CatchAllData" ma:web="fb82d92b-cce1-4865-9e40-015a6266df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2D617-AC4E-4F37-8F73-C5D1B2A5EB60}">
  <ds:schemaRefs>
    <ds:schemaRef ds:uri="http://schemas.microsoft.com/office/2006/metadata/properties"/>
    <ds:schemaRef ds:uri="http://schemas.microsoft.com/office/infopath/2007/PartnerControls"/>
    <ds:schemaRef ds:uri="fb82d92b-cce1-4865-9e40-015a6266df31"/>
    <ds:schemaRef ds:uri="38d40274-ed19-48ce-a15e-e059463c1775"/>
  </ds:schemaRefs>
</ds:datastoreItem>
</file>

<file path=customXml/itemProps2.xml><?xml version="1.0" encoding="utf-8"?>
<ds:datastoreItem xmlns:ds="http://schemas.openxmlformats.org/officeDocument/2006/customXml" ds:itemID="{31D55502-FB41-4821-B30A-E8B0CE7C2F62}">
  <ds:schemaRefs>
    <ds:schemaRef ds:uri="http://schemas.microsoft.com/sharepoint/v3/contenttype/forms"/>
  </ds:schemaRefs>
</ds:datastoreItem>
</file>

<file path=customXml/itemProps3.xml><?xml version="1.0" encoding="utf-8"?>
<ds:datastoreItem xmlns:ds="http://schemas.openxmlformats.org/officeDocument/2006/customXml" ds:itemID="{EE54CC16-868A-4615-ADF7-5616238285A0}"/>
</file>

<file path=customXml/itemProps4.xml><?xml version="1.0" encoding="utf-8"?>
<ds:datastoreItem xmlns:ds="http://schemas.openxmlformats.org/officeDocument/2006/customXml" ds:itemID="{630F767F-B516-4061-A751-956715D237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235</Pages>
  <Words>74379</Words>
  <Characters>409086</Characters>
  <Application>Microsoft Office Word</Application>
  <DocSecurity>0</DocSecurity>
  <Lines>3409</Lines>
  <Paragraphs>964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482501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CLAUDIA MARCELA PINZON ROJAS</cp:lastModifiedBy>
  <cp:revision>2</cp:revision>
  <dcterms:created xsi:type="dcterms:W3CDTF">2026-07-17T03:48:00Z</dcterms:created>
  <dcterms:modified xsi:type="dcterms:W3CDTF">2026-07-17T03:48:00Z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0x01010005CCD901C4501449A86A24F4F0AC0678</vt:lpwstr>
  </property>
  <property fmtid="{D5CDD505-2E9C-101B-9397-08002B2CF9AE}" pid="3" name="MediaServiceImageTags">
    <vt:lpwstr/>
  </property>
</Properties>
</file>